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48" w:rsidRDefault="00147A48" w:rsidP="00147A48">
      <w:pPr>
        <w:jc w:val="center"/>
        <w:rPr>
          <w:b/>
          <w:sz w:val="28"/>
          <w:szCs w:val="28"/>
          <w:lang w:bidi="ar-SA"/>
        </w:rPr>
      </w:pPr>
      <w:r>
        <w:rPr>
          <w:b/>
          <w:sz w:val="28"/>
          <w:szCs w:val="28"/>
        </w:rPr>
        <w:t>GESS 2019, Valence</w:t>
      </w:r>
    </w:p>
    <w:p w:rsidR="00147A48" w:rsidRDefault="00147A48" w:rsidP="00147A48">
      <w:pPr>
        <w:jc w:val="center"/>
        <w:rPr>
          <w:b/>
          <w:sz w:val="28"/>
          <w:szCs w:val="28"/>
        </w:rPr>
      </w:pPr>
    </w:p>
    <w:p w:rsidR="00147A48" w:rsidRDefault="00147A48" w:rsidP="00147A48">
      <w:pPr>
        <w:jc w:val="center"/>
        <w:rPr>
          <w:b/>
          <w:sz w:val="28"/>
          <w:szCs w:val="28"/>
        </w:rPr>
      </w:pPr>
      <w:r>
        <w:rPr>
          <w:b/>
          <w:sz w:val="28"/>
          <w:szCs w:val="28"/>
        </w:rPr>
        <w:t>SCOP et SCIC : projet coopératif et gouvernance au-delà des statuts</w:t>
      </w:r>
    </w:p>
    <w:p w:rsidR="00147A48" w:rsidRDefault="00147A48" w:rsidP="00147A48">
      <w:pPr>
        <w:rPr>
          <w:sz w:val="24"/>
          <w:szCs w:val="24"/>
        </w:rPr>
      </w:pPr>
    </w:p>
    <w:p w:rsidR="00147A48" w:rsidRDefault="00147A48" w:rsidP="00147A48">
      <w:pPr>
        <w:jc w:val="right"/>
        <w:rPr>
          <w:i/>
          <w:sz w:val="24"/>
          <w:szCs w:val="24"/>
        </w:rPr>
      </w:pPr>
      <w:r>
        <w:rPr>
          <w:i/>
          <w:sz w:val="24"/>
          <w:szCs w:val="24"/>
        </w:rPr>
        <w:t>Benjamin DUBRION, MCF en économie, Sciences Po Lyon, TRIANGLE</w:t>
      </w:r>
    </w:p>
    <w:p w:rsidR="00147A48" w:rsidRDefault="00147A48" w:rsidP="00147A48">
      <w:pPr>
        <w:jc w:val="right"/>
        <w:rPr>
          <w:i/>
          <w:sz w:val="24"/>
          <w:szCs w:val="24"/>
        </w:rPr>
      </w:pPr>
      <w:r>
        <w:rPr>
          <w:i/>
          <w:sz w:val="24"/>
          <w:szCs w:val="24"/>
        </w:rPr>
        <w:t>Jean-Yves JUBAN, Professeur de sciences de gestion, Université Grenoble Alpes, CERAG</w:t>
      </w:r>
    </w:p>
    <w:p w:rsidR="00147A48" w:rsidRDefault="00147A48" w:rsidP="00147A48">
      <w:pPr>
        <w:jc w:val="right"/>
        <w:rPr>
          <w:i/>
          <w:sz w:val="24"/>
          <w:szCs w:val="24"/>
        </w:rPr>
      </w:pPr>
      <w:r>
        <w:rPr>
          <w:i/>
          <w:sz w:val="24"/>
          <w:szCs w:val="24"/>
        </w:rPr>
        <w:t>Francesca PETRELLA, Professeure d’économie, Aix Marseille Université, LEST</w:t>
      </w:r>
    </w:p>
    <w:p w:rsidR="00147A48" w:rsidRDefault="00147A48" w:rsidP="00147A48">
      <w:pPr>
        <w:pStyle w:val="Section"/>
        <w:rPr>
          <w:u w:val="none"/>
        </w:rPr>
      </w:pPr>
      <w:r>
        <w:rPr>
          <w:u w:val="none"/>
        </w:rPr>
        <w:t>Introduction</w:t>
      </w:r>
    </w:p>
    <w:p w:rsidR="00147A48" w:rsidRDefault="00147A48" w:rsidP="00147A48">
      <w:pPr>
        <w:ind w:firstLine="708"/>
        <w:rPr>
          <w:sz w:val="24"/>
          <w:szCs w:val="24"/>
        </w:rPr>
      </w:pPr>
      <w:r>
        <w:rPr>
          <w:sz w:val="24"/>
          <w:szCs w:val="24"/>
        </w:rPr>
        <w:t xml:space="preserve">Les SCOP (Sociétés Coopératives et Participatives) et les SCIC (Sociétés Coopératives d’Intérêt Collectif) sont généralement vues comme des entreprises reposant sur des principes forts qui ne sont pas mis en avant en tant que tels dans les entreprises capitalistes classiques. Les valeurs de solidarité, d’égalité, de participation, de démocratie sont ainsi souvent revendiquées par les membres de ces entreprises et la partie « préambule » de leurs statuts y fait très fréquemment référence. Par ailleurs, les modèles de gouvernance et de management des SCOP et SCIC sont loin d’être uniformes. Chaque entreprise a à cet égard ses règles formelles et informelles propres, ses pratiques spécifiques liées  notamment à son histoire, au leadership de ses créateurs et dirigeants, ou encore aux caractéristiques de son secteur d’activité à un point tel que pour certaines coopératives, la différence avec les  entreprises classiques peut parfois être ténue ou qu’à l’opposé, c’est explicitement contre celles-ci que certains membres des SCOP/SCIC justifient leur existence et leur mode de fonctionnement. </w:t>
      </w:r>
    </w:p>
    <w:p w:rsidR="00147A48" w:rsidRDefault="00147A48" w:rsidP="00147A48">
      <w:pPr>
        <w:rPr>
          <w:sz w:val="24"/>
          <w:szCs w:val="24"/>
        </w:rPr>
      </w:pPr>
      <w:r>
        <w:rPr>
          <w:sz w:val="24"/>
          <w:szCs w:val="24"/>
        </w:rPr>
        <w:tab/>
        <w:t>L’objet de cet article est de souligner la diversité et la richesse des règles et des pratiques de la coopération dans les SCOP/SCIC. Nous nous intéressons ici spécifiquement aux différences et aux points de convergence que nous avons pu mettre au jour en matière et de gouvernance et de management en nous appuyant sur des études de cas conduites dans le cadre d’un programme de recherche financé par l’ANR (Agence Nationale de la Recherche). Ce programme portait sur les relations de coopération des SCOP/SCIC, coopération saisie en interne entre leurs membres mais également en externe, c’est-à-dire en lien avec les partenaires commerciaux mais également institutionnels, publics et de la société civile de ces entreprises. L’idée est ici de s’interroger sur la logique des règles formelles et informelles conduisant les acteurs des entreprises à coopérer et agir dans le sens du projet porté par leur structure d’appartenance, projet dont la conduite est justement permise par les dispositifs de gouvernance et de management propres à chaque organisation.</w:t>
      </w:r>
    </w:p>
    <w:p w:rsidR="00147A48" w:rsidRDefault="00147A48" w:rsidP="00147A48">
      <w:pPr>
        <w:ind w:firstLine="708"/>
        <w:rPr>
          <w:sz w:val="24"/>
          <w:szCs w:val="24"/>
        </w:rPr>
      </w:pPr>
      <w:r>
        <w:rPr>
          <w:sz w:val="24"/>
          <w:szCs w:val="24"/>
        </w:rPr>
        <w:t>Pour ce faire, nous procéderons en trois temps. Dans un premier temps, nous présenterons notre grille d’analyse des SCOP/SCIC. Elle repose sur l’importance accordée au projet de l’entreprise et sur les règles de gouvernance et de management qui le soutiennent. Nous questionnerons d’abord la nature du projet des SCOP/SCIC, en mettant en avant le fait que ce type d’entreprise se caractérise par un projet à la fois politique et économique pour lequel la dimension première reste la dimension politique, l’économique étant pensé comme un moyen d’action. La finalité politique des SCOP/SCIC prend alors sens dans deux voies</w:t>
      </w:r>
      <w:r>
        <w:rPr>
          <w:strike/>
          <w:sz w:val="24"/>
          <w:szCs w:val="24"/>
        </w:rPr>
        <w:t xml:space="preserve"> </w:t>
      </w:r>
      <w:r>
        <w:rPr>
          <w:sz w:val="24"/>
          <w:szCs w:val="24"/>
        </w:rPr>
        <w:t xml:space="preserve">: l’une visant à transformer les relations existantes entre individus </w:t>
      </w:r>
      <w:r>
        <w:rPr>
          <w:i/>
          <w:sz w:val="24"/>
          <w:szCs w:val="24"/>
        </w:rPr>
        <w:t>au sein</w:t>
      </w:r>
      <w:r>
        <w:rPr>
          <w:sz w:val="24"/>
          <w:szCs w:val="24"/>
        </w:rPr>
        <w:t xml:space="preserve"> de l’organisation, l’autre à transformer ce qui se passe </w:t>
      </w:r>
      <w:r>
        <w:rPr>
          <w:i/>
          <w:sz w:val="24"/>
          <w:szCs w:val="24"/>
        </w:rPr>
        <w:t>à l’extérieur</w:t>
      </w:r>
      <w:r>
        <w:rPr>
          <w:sz w:val="24"/>
          <w:szCs w:val="24"/>
        </w:rPr>
        <w:t xml:space="preserve"> de l’organisation, en lien avec la représentation qu’ont ses membres de la société dans laquelle ils évoluent. Nous analyserons ensuite les modèles de gouvernance et de management de ces organisations, considérés comme des leviers de réalisation du projet porté par l’entreprise. La gouvernance est en effet garante du projet de la coopérative, elle doit donc être en capacité de « garder le cap » et de s’assurer de la mise en cohérence entre le projet et le fonctionnement de l’entreprise, à travers différents dispositifs et pratiques sur lesquels nous reviendrons.</w:t>
      </w:r>
    </w:p>
    <w:p w:rsidR="00147A48" w:rsidRDefault="00147A48" w:rsidP="00147A48">
      <w:pPr>
        <w:ind w:firstLine="708"/>
        <w:rPr>
          <w:sz w:val="24"/>
          <w:szCs w:val="24"/>
        </w:rPr>
      </w:pPr>
      <w:r>
        <w:rPr>
          <w:sz w:val="24"/>
          <w:szCs w:val="24"/>
        </w:rPr>
        <w:t xml:space="preserve">Dans un second temps, nous présenterons les données sur lesquelles nous nous sommes appuyés et la méthodologie suivie pour recueillir et analyser celles-ci. Initialement, notre travail reposait sur l’étude d’une dizaine de cas de SCOP/SCIC. Nous en retiendrons quatre dans le présent article, les plus emblématiques et originaux, afin de pouvoir entrer dans le détail de </w:t>
      </w:r>
      <w:r>
        <w:rPr>
          <w:sz w:val="24"/>
          <w:szCs w:val="24"/>
        </w:rPr>
        <w:lastRenderedPageBreak/>
        <w:t>chacun d’eux.</w:t>
      </w:r>
    </w:p>
    <w:p w:rsidR="00147A48" w:rsidRDefault="00147A48" w:rsidP="00147A48">
      <w:pPr>
        <w:ind w:firstLine="708"/>
        <w:rPr>
          <w:sz w:val="24"/>
          <w:szCs w:val="24"/>
        </w:rPr>
      </w:pPr>
      <w:r>
        <w:rPr>
          <w:sz w:val="24"/>
          <w:szCs w:val="24"/>
        </w:rPr>
        <w:t xml:space="preserve">Enfin dans un dernier temps, nous présenterons les résultats de notre étude. Nous expliciterons d’une part les projets politiques à la base des quatre cas retenus et verrons en quoi leur conduite est en lien avec les contraintes qu’elles rencontrent du point de vue économique. Nous examinerons d’autre part dans quelle mesure les pratiques de gouvernance et de management permettent la mise en œuvre de ces projets, en mettant en valeur trois résultats importants : la reconnaissance du fait que la gouvernance se comprend généralement de manière élargie dans les SCOP/SCIC ; l’interaction plus grande que dans les entreprises classiques entre la sphère de la gouvernance et celle du management; et enfin la diversité des pratiques de management. </w:t>
      </w:r>
    </w:p>
    <w:p w:rsidR="007628D4" w:rsidRDefault="007628D4" w:rsidP="00147A48"/>
    <w:p w:rsidR="00147A48" w:rsidRDefault="00147A48" w:rsidP="00147A48">
      <w:bookmarkStart w:id="0" w:name="_GoBack"/>
      <w:bookmarkEnd w:id="0"/>
    </w:p>
    <w:p w:rsidR="00147A48" w:rsidRPr="00064290" w:rsidRDefault="00147A48" w:rsidP="00147A48">
      <w:pPr>
        <w:pStyle w:val="Section"/>
        <w:rPr>
          <w:u w:val="none"/>
          <w:lang w:val="en-US"/>
        </w:rPr>
      </w:pPr>
      <w:proofErr w:type="spellStart"/>
      <w:r w:rsidRPr="00064290">
        <w:rPr>
          <w:u w:val="none"/>
          <w:lang w:val="en-US"/>
        </w:rPr>
        <w:t>Bibliographie</w:t>
      </w:r>
      <w:proofErr w:type="spellEnd"/>
    </w:p>
    <w:p w:rsidR="00147A48" w:rsidRPr="00F80687" w:rsidRDefault="00147A48" w:rsidP="00147A48">
      <w:pPr>
        <w:ind w:left="284" w:hanging="284"/>
        <w:rPr>
          <w:sz w:val="24"/>
          <w:szCs w:val="24"/>
          <w:lang w:val="en-US"/>
        </w:rPr>
      </w:pPr>
      <w:proofErr w:type="spellStart"/>
      <w:r w:rsidRPr="00F80687">
        <w:rPr>
          <w:sz w:val="24"/>
          <w:szCs w:val="24"/>
          <w:lang w:val="en-US"/>
        </w:rPr>
        <w:t>Bataille</w:t>
      </w:r>
      <w:r>
        <w:rPr>
          <w:sz w:val="24"/>
          <w:szCs w:val="24"/>
          <w:lang w:val="en-US"/>
        </w:rPr>
        <w:t>-</w:t>
      </w:r>
      <w:r w:rsidRPr="00F80687">
        <w:rPr>
          <w:sz w:val="24"/>
          <w:szCs w:val="24"/>
          <w:lang w:val="en-US"/>
        </w:rPr>
        <w:t>Chédotel</w:t>
      </w:r>
      <w:proofErr w:type="spellEnd"/>
      <w:r w:rsidRPr="00F80687">
        <w:rPr>
          <w:sz w:val="24"/>
          <w:szCs w:val="24"/>
          <w:lang w:val="en-US"/>
        </w:rPr>
        <w:t xml:space="preserve"> F., </w:t>
      </w:r>
      <w:proofErr w:type="spellStart"/>
      <w:r w:rsidRPr="00F80687">
        <w:rPr>
          <w:sz w:val="24"/>
          <w:szCs w:val="24"/>
          <w:lang w:val="en-US"/>
        </w:rPr>
        <w:t>Huntzinger</w:t>
      </w:r>
      <w:proofErr w:type="spellEnd"/>
      <w:r w:rsidRPr="00F80687">
        <w:rPr>
          <w:sz w:val="24"/>
          <w:szCs w:val="24"/>
          <w:lang w:val="en-US"/>
        </w:rPr>
        <w:t xml:space="preserve"> F. (2004), « Faces of governance of production cooperatives: An exploratory study of ten French cooperatives », </w:t>
      </w:r>
      <w:r w:rsidRPr="00F80687">
        <w:rPr>
          <w:i/>
          <w:sz w:val="24"/>
          <w:szCs w:val="24"/>
          <w:lang w:val="en-US"/>
        </w:rPr>
        <w:t>Annals of Public and Cooperative Economics</w:t>
      </w:r>
      <w:r w:rsidRPr="00F80687">
        <w:rPr>
          <w:sz w:val="24"/>
          <w:szCs w:val="24"/>
          <w:lang w:val="en-US"/>
        </w:rPr>
        <w:t xml:space="preserve">, </w:t>
      </w:r>
      <w:r>
        <w:rPr>
          <w:sz w:val="24"/>
          <w:szCs w:val="24"/>
          <w:lang w:val="en-US"/>
        </w:rPr>
        <w:t xml:space="preserve">n° </w:t>
      </w:r>
      <w:r w:rsidRPr="00F80687">
        <w:rPr>
          <w:sz w:val="24"/>
          <w:szCs w:val="24"/>
          <w:lang w:val="en-US"/>
        </w:rPr>
        <w:t>75(1), p.</w:t>
      </w:r>
      <w:r>
        <w:rPr>
          <w:sz w:val="24"/>
          <w:szCs w:val="24"/>
          <w:lang w:val="en-US"/>
        </w:rPr>
        <w:t xml:space="preserve"> </w:t>
      </w:r>
      <w:r w:rsidRPr="00F80687">
        <w:rPr>
          <w:sz w:val="24"/>
          <w:szCs w:val="24"/>
          <w:lang w:val="en-US"/>
        </w:rPr>
        <w:t xml:space="preserve">89-111. </w:t>
      </w:r>
    </w:p>
    <w:p w:rsidR="00147A48" w:rsidRPr="00F80687" w:rsidRDefault="00147A48" w:rsidP="00147A48">
      <w:pPr>
        <w:ind w:left="284" w:hanging="284"/>
        <w:rPr>
          <w:sz w:val="24"/>
          <w:szCs w:val="24"/>
          <w:lang w:val="en-US"/>
        </w:rPr>
      </w:pPr>
      <w:proofErr w:type="spellStart"/>
      <w:r w:rsidRPr="00F80687">
        <w:rPr>
          <w:sz w:val="24"/>
          <w:szCs w:val="24"/>
          <w:lang w:val="en-US"/>
        </w:rPr>
        <w:t>Bhowmik</w:t>
      </w:r>
      <w:proofErr w:type="spellEnd"/>
      <w:r w:rsidRPr="00F80687">
        <w:rPr>
          <w:sz w:val="24"/>
          <w:szCs w:val="24"/>
          <w:lang w:val="en-US"/>
        </w:rPr>
        <w:t xml:space="preserve"> S.K., </w:t>
      </w:r>
      <w:proofErr w:type="spellStart"/>
      <w:r w:rsidRPr="00F80687">
        <w:rPr>
          <w:sz w:val="24"/>
          <w:szCs w:val="24"/>
          <w:lang w:val="en-US"/>
        </w:rPr>
        <w:t>Sarker</w:t>
      </w:r>
      <w:proofErr w:type="spellEnd"/>
      <w:r w:rsidRPr="00F80687">
        <w:rPr>
          <w:sz w:val="24"/>
          <w:szCs w:val="24"/>
          <w:lang w:val="en-US"/>
        </w:rPr>
        <w:t xml:space="preserve"> K. (2002), « Worker cooperatives as alternative production systems: A study in Kolkata, India », </w:t>
      </w:r>
      <w:r w:rsidRPr="00F80687">
        <w:rPr>
          <w:i/>
          <w:sz w:val="24"/>
          <w:szCs w:val="24"/>
          <w:lang w:val="en-US"/>
        </w:rPr>
        <w:t>Work and Occupations</w:t>
      </w:r>
      <w:r w:rsidRPr="00F80687">
        <w:rPr>
          <w:sz w:val="24"/>
          <w:szCs w:val="24"/>
          <w:lang w:val="en-US"/>
        </w:rPr>
        <w:t xml:space="preserve">, </w:t>
      </w:r>
      <w:r>
        <w:rPr>
          <w:sz w:val="24"/>
          <w:szCs w:val="24"/>
          <w:lang w:val="en-US"/>
        </w:rPr>
        <w:t xml:space="preserve">n° </w:t>
      </w:r>
      <w:r w:rsidRPr="00F80687">
        <w:rPr>
          <w:sz w:val="24"/>
          <w:szCs w:val="24"/>
          <w:lang w:val="en-US"/>
        </w:rPr>
        <w:t>29(4), p.</w:t>
      </w:r>
      <w:r>
        <w:rPr>
          <w:sz w:val="24"/>
          <w:szCs w:val="24"/>
          <w:lang w:val="en-US"/>
        </w:rPr>
        <w:t xml:space="preserve"> </w:t>
      </w:r>
      <w:r w:rsidRPr="00F80687">
        <w:rPr>
          <w:sz w:val="24"/>
          <w:szCs w:val="24"/>
          <w:lang w:val="en-US"/>
        </w:rPr>
        <w:t>460-482.</w:t>
      </w:r>
    </w:p>
    <w:p w:rsidR="00147A48" w:rsidRPr="00F80687" w:rsidRDefault="00147A48" w:rsidP="00147A48">
      <w:pPr>
        <w:ind w:left="284" w:hanging="284"/>
        <w:rPr>
          <w:sz w:val="24"/>
          <w:szCs w:val="24"/>
          <w:lang w:val="en-US"/>
        </w:rPr>
      </w:pPr>
      <w:proofErr w:type="spellStart"/>
      <w:r w:rsidRPr="00F80687">
        <w:rPr>
          <w:sz w:val="24"/>
          <w:szCs w:val="24"/>
          <w:lang w:val="en-US"/>
        </w:rPr>
        <w:t>Bretos</w:t>
      </w:r>
      <w:proofErr w:type="spellEnd"/>
      <w:r w:rsidRPr="00F80687">
        <w:rPr>
          <w:sz w:val="24"/>
          <w:szCs w:val="24"/>
          <w:lang w:val="en-US"/>
        </w:rPr>
        <w:t xml:space="preserve"> I., </w:t>
      </w:r>
      <w:proofErr w:type="spellStart"/>
      <w:r w:rsidRPr="00F80687">
        <w:rPr>
          <w:sz w:val="24"/>
          <w:szCs w:val="24"/>
          <w:lang w:val="en-US"/>
        </w:rPr>
        <w:t>Errasti</w:t>
      </w:r>
      <w:proofErr w:type="spellEnd"/>
      <w:r w:rsidRPr="00F80687">
        <w:rPr>
          <w:sz w:val="24"/>
          <w:szCs w:val="24"/>
          <w:lang w:val="en-US"/>
        </w:rPr>
        <w:t xml:space="preserve"> A. (2017), « Challenges and opportunities for the regeneration of multinational worker cooperatives: Lessons from the Mondragon Corporation. A case study of the </w:t>
      </w:r>
      <w:proofErr w:type="spellStart"/>
      <w:r w:rsidRPr="00F80687">
        <w:rPr>
          <w:sz w:val="24"/>
          <w:szCs w:val="24"/>
          <w:lang w:val="en-US"/>
        </w:rPr>
        <w:t>Fagor</w:t>
      </w:r>
      <w:proofErr w:type="spellEnd"/>
      <w:r w:rsidRPr="00F80687">
        <w:rPr>
          <w:sz w:val="24"/>
          <w:szCs w:val="24"/>
          <w:lang w:val="en-US"/>
        </w:rPr>
        <w:t xml:space="preserve"> </w:t>
      </w:r>
      <w:proofErr w:type="spellStart"/>
      <w:r w:rsidRPr="00F80687">
        <w:rPr>
          <w:sz w:val="24"/>
          <w:szCs w:val="24"/>
          <w:lang w:val="en-US"/>
        </w:rPr>
        <w:t>Ederlan</w:t>
      </w:r>
      <w:proofErr w:type="spellEnd"/>
      <w:r w:rsidRPr="00F80687">
        <w:rPr>
          <w:sz w:val="24"/>
          <w:szCs w:val="24"/>
          <w:lang w:val="en-US"/>
        </w:rPr>
        <w:t xml:space="preserve"> Group », </w:t>
      </w:r>
      <w:r w:rsidRPr="00F80687">
        <w:rPr>
          <w:i/>
          <w:sz w:val="24"/>
          <w:szCs w:val="24"/>
          <w:lang w:val="en-US"/>
        </w:rPr>
        <w:t>Organization</w:t>
      </w:r>
      <w:r w:rsidRPr="00F80687">
        <w:rPr>
          <w:sz w:val="24"/>
          <w:szCs w:val="24"/>
          <w:lang w:val="en-US"/>
        </w:rPr>
        <w:t xml:space="preserve">, </w:t>
      </w:r>
      <w:r>
        <w:rPr>
          <w:sz w:val="24"/>
          <w:szCs w:val="24"/>
          <w:lang w:val="en-US"/>
        </w:rPr>
        <w:t xml:space="preserve">n° </w:t>
      </w:r>
      <w:r w:rsidRPr="00F80687">
        <w:rPr>
          <w:sz w:val="24"/>
          <w:szCs w:val="24"/>
          <w:lang w:val="en-US"/>
        </w:rPr>
        <w:t>24(2), p.</w:t>
      </w:r>
      <w:r>
        <w:rPr>
          <w:sz w:val="24"/>
          <w:szCs w:val="24"/>
          <w:lang w:val="en-US"/>
        </w:rPr>
        <w:t xml:space="preserve"> </w:t>
      </w:r>
      <w:r w:rsidRPr="00F80687">
        <w:rPr>
          <w:sz w:val="24"/>
          <w:szCs w:val="24"/>
          <w:lang w:val="en-US"/>
        </w:rPr>
        <w:t xml:space="preserve">154-173. </w:t>
      </w:r>
    </w:p>
    <w:p w:rsidR="00147A48" w:rsidRPr="00F80687" w:rsidRDefault="00147A48" w:rsidP="00147A48">
      <w:pPr>
        <w:ind w:left="284" w:hanging="284"/>
        <w:rPr>
          <w:sz w:val="24"/>
          <w:szCs w:val="24"/>
          <w:lang w:val="en-US"/>
        </w:rPr>
      </w:pPr>
      <w:r w:rsidRPr="00F80687">
        <w:rPr>
          <w:sz w:val="24"/>
          <w:szCs w:val="24"/>
          <w:lang w:val="en-US"/>
        </w:rPr>
        <w:t xml:space="preserve">Cheney G., Santa-Cruz I., </w:t>
      </w:r>
      <w:proofErr w:type="spellStart"/>
      <w:r w:rsidRPr="00F80687">
        <w:rPr>
          <w:sz w:val="24"/>
          <w:szCs w:val="24"/>
          <w:lang w:val="en-US"/>
        </w:rPr>
        <w:t>Peredo</w:t>
      </w:r>
      <w:proofErr w:type="spellEnd"/>
      <w:r w:rsidRPr="00F80687">
        <w:rPr>
          <w:sz w:val="24"/>
          <w:szCs w:val="24"/>
          <w:lang w:val="en-US"/>
        </w:rPr>
        <w:t xml:space="preserve"> A.M., </w:t>
      </w:r>
      <w:proofErr w:type="spellStart"/>
      <w:r w:rsidRPr="00F80687">
        <w:rPr>
          <w:sz w:val="24"/>
          <w:szCs w:val="24"/>
          <w:lang w:val="en-US"/>
        </w:rPr>
        <w:t>Nazareno</w:t>
      </w:r>
      <w:proofErr w:type="spellEnd"/>
      <w:r w:rsidRPr="00F80687">
        <w:rPr>
          <w:sz w:val="24"/>
          <w:szCs w:val="24"/>
          <w:lang w:val="en-US"/>
        </w:rPr>
        <w:t xml:space="preserve"> E. (2014), « Worker cooperatives as an organizational alternative: Challenges, achievements and promise in business governance and ownership », </w:t>
      </w:r>
      <w:r w:rsidRPr="00F80687">
        <w:rPr>
          <w:i/>
          <w:sz w:val="24"/>
          <w:szCs w:val="24"/>
          <w:lang w:val="en-US"/>
        </w:rPr>
        <w:t>Organization</w:t>
      </w:r>
      <w:r w:rsidRPr="00F80687">
        <w:rPr>
          <w:sz w:val="24"/>
          <w:szCs w:val="24"/>
          <w:lang w:val="en-US"/>
        </w:rPr>
        <w:t xml:space="preserve">, </w:t>
      </w:r>
      <w:r>
        <w:rPr>
          <w:sz w:val="24"/>
          <w:szCs w:val="24"/>
          <w:lang w:val="en-US"/>
        </w:rPr>
        <w:t xml:space="preserve">n° </w:t>
      </w:r>
      <w:r w:rsidRPr="00F80687">
        <w:rPr>
          <w:sz w:val="24"/>
          <w:szCs w:val="24"/>
          <w:lang w:val="en-US"/>
        </w:rPr>
        <w:t>21(5), p.</w:t>
      </w:r>
      <w:r>
        <w:rPr>
          <w:sz w:val="24"/>
          <w:szCs w:val="24"/>
          <w:lang w:val="en-US"/>
        </w:rPr>
        <w:t xml:space="preserve"> </w:t>
      </w:r>
      <w:r w:rsidRPr="00F80687">
        <w:rPr>
          <w:sz w:val="24"/>
          <w:szCs w:val="24"/>
          <w:lang w:val="en-US"/>
        </w:rPr>
        <w:t>591-603.</w:t>
      </w:r>
    </w:p>
    <w:p w:rsidR="00147A48" w:rsidRPr="008D1892" w:rsidRDefault="00147A48" w:rsidP="00147A48">
      <w:pPr>
        <w:spacing w:before="120" w:after="120"/>
        <w:ind w:left="284" w:hanging="284"/>
        <w:rPr>
          <w:sz w:val="24"/>
          <w:szCs w:val="24"/>
          <w:lang w:val="en-US"/>
        </w:rPr>
      </w:pPr>
      <w:r w:rsidRPr="008D1892">
        <w:rPr>
          <w:sz w:val="24"/>
          <w:szCs w:val="24"/>
          <w:lang w:val="en-US"/>
        </w:rPr>
        <w:t xml:space="preserve">Commons, J. R. (1934), </w:t>
      </w:r>
      <w:r w:rsidRPr="008D1892">
        <w:rPr>
          <w:i/>
          <w:sz w:val="24"/>
          <w:szCs w:val="24"/>
          <w:lang w:val="en-US"/>
        </w:rPr>
        <w:t xml:space="preserve">Institutional Economics. </w:t>
      </w:r>
      <w:proofErr w:type="gramStart"/>
      <w:r w:rsidRPr="008D1892">
        <w:rPr>
          <w:i/>
          <w:sz w:val="24"/>
          <w:szCs w:val="24"/>
          <w:lang w:val="en-US"/>
        </w:rPr>
        <w:t>Its</w:t>
      </w:r>
      <w:proofErr w:type="gramEnd"/>
      <w:r w:rsidRPr="008D1892">
        <w:rPr>
          <w:i/>
          <w:sz w:val="24"/>
          <w:szCs w:val="24"/>
          <w:lang w:val="en-US"/>
        </w:rPr>
        <w:t xml:space="preserve"> Place in Political Economy</w:t>
      </w:r>
      <w:r w:rsidRPr="008D1892">
        <w:rPr>
          <w:sz w:val="24"/>
          <w:szCs w:val="24"/>
          <w:lang w:val="en-US"/>
        </w:rPr>
        <w:t xml:space="preserve">, New York, Macmillan, </w:t>
      </w:r>
      <w:proofErr w:type="spellStart"/>
      <w:r w:rsidRPr="008D1892">
        <w:rPr>
          <w:sz w:val="24"/>
          <w:szCs w:val="24"/>
          <w:lang w:val="en-US"/>
        </w:rPr>
        <w:t>réédition</w:t>
      </w:r>
      <w:proofErr w:type="spellEnd"/>
      <w:r w:rsidRPr="008D1892">
        <w:rPr>
          <w:sz w:val="24"/>
          <w:szCs w:val="24"/>
          <w:lang w:val="en-US"/>
        </w:rPr>
        <w:t xml:space="preserve"> 1990, Transaction Publishers.</w:t>
      </w:r>
    </w:p>
    <w:p w:rsidR="00147A48" w:rsidRPr="004D403D" w:rsidRDefault="00147A48" w:rsidP="00147A48">
      <w:pPr>
        <w:adjustRightInd w:val="0"/>
        <w:spacing w:before="120" w:after="120"/>
        <w:ind w:left="284" w:hanging="284"/>
        <w:rPr>
          <w:color w:val="000000"/>
          <w:sz w:val="24"/>
          <w:szCs w:val="24"/>
          <w:lang w:val="en-US"/>
        </w:rPr>
      </w:pPr>
      <w:r>
        <w:rPr>
          <w:color w:val="000000"/>
          <w:sz w:val="24"/>
          <w:szCs w:val="24"/>
          <w:lang w:val="en-US"/>
        </w:rPr>
        <w:t>Cornforth</w:t>
      </w:r>
      <w:r w:rsidRPr="004D403D">
        <w:rPr>
          <w:color w:val="000000"/>
          <w:sz w:val="24"/>
          <w:szCs w:val="24"/>
          <w:lang w:val="en-US"/>
        </w:rPr>
        <w:t xml:space="preserve"> C.  (2014)</w:t>
      </w:r>
      <w:r>
        <w:rPr>
          <w:color w:val="000000"/>
          <w:sz w:val="24"/>
          <w:szCs w:val="24"/>
          <w:lang w:val="en-US"/>
        </w:rPr>
        <w:t>,</w:t>
      </w:r>
      <w:r w:rsidRPr="004D403D">
        <w:rPr>
          <w:color w:val="000000"/>
          <w:sz w:val="24"/>
          <w:szCs w:val="24"/>
          <w:lang w:val="en-US"/>
        </w:rPr>
        <w:t xml:space="preserve"> </w:t>
      </w:r>
      <w:r w:rsidRPr="00D91F1C">
        <w:rPr>
          <w:sz w:val="24"/>
          <w:szCs w:val="24"/>
          <w:lang w:val="en-US"/>
        </w:rPr>
        <w:t>«</w:t>
      </w:r>
      <w:r>
        <w:rPr>
          <w:sz w:val="24"/>
          <w:szCs w:val="24"/>
          <w:lang w:val="en-US"/>
        </w:rPr>
        <w:t xml:space="preserve"> </w:t>
      </w:r>
      <w:r w:rsidRPr="004D403D">
        <w:rPr>
          <w:color w:val="000000"/>
          <w:sz w:val="24"/>
          <w:szCs w:val="24"/>
          <w:lang w:val="en-US"/>
        </w:rPr>
        <w:t>Understanding and combating mission drift in social enterprises</w:t>
      </w:r>
      <w:r>
        <w:rPr>
          <w:color w:val="000000"/>
          <w:sz w:val="24"/>
          <w:szCs w:val="24"/>
          <w:lang w:val="en-US"/>
        </w:rPr>
        <w:t xml:space="preserve"> </w:t>
      </w:r>
      <w:r w:rsidRPr="00753F4A">
        <w:rPr>
          <w:sz w:val="24"/>
          <w:szCs w:val="24"/>
          <w:lang w:val="en-US"/>
        </w:rPr>
        <w:t>»</w:t>
      </w:r>
      <w:r w:rsidRPr="004D403D">
        <w:rPr>
          <w:color w:val="000000"/>
          <w:sz w:val="24"/>
          <w:szCs w:val="24"/>
          <w:lang w:val="en-US"/>
        </w:rPr>
        <w:t xml:space="preserve">, </w:t>
      </w:r>
      <w:r w:rsidRPr="004D403D">
        <w:rPr>
          <w:i/>
          <w:color w:val="000000"/>
          <w:sz w:val="24"/>
          <w:szCs w:val="24"/>
          <w:lang w:val="en-US"/>
        </w:rPr>
        <w:t>Social Enterprise Journal</w:t>
      </w:r>
      <w:r>
        <w:rPr>
          <w:color w:val="000000"/>
          <w:sz w:val="24"/>
          <w:szCs w:val="24"/>
          <w:lang w:val="en-US"/>
        </w:rPr>
        <w:t xml:space="preserve">, Vol. 10, Issue: </w:t>
      </w:r>
      <w:proofErr w:type="gramStart"/>
      <w:r>
        <w:rPr>
          <w:color w:val="000000"/>
          <w:sz w:val="24"/>
          <w:szCs w:val="24"/>
          <w:lang w:val="en-US"/>
        </w:rPr>
        <w:t>1</w:t>
      </w:r>
      <w:proofErr w:type="gramEnd"/>
      <w:r>
        <w:rPr>
          <w:color w:val="000000"/>
          <w:sz w:val="24"/>
          <w:szCs w:val="24"/>
          <w:lang w:val="en-US"/>
        </w:rPr>
        <w:t>, p. 3-20</w:t>
      </w:r>
      <w:r w:rsidRPr="004D403D">
        <w:rPr>
          <w:color w:val="0000FF"/>
          <w:sz w:val="24"/>
          <w:szCs w:val="24"/>
          <w:lang w:val="en-US"/>
        </w:rPr>
        <w:t>.</w:t>
      </w:r>
    </w:p>
    <w:p w:rsidR="00147A48" w:rsidRPr="00D91F1C" w:rsidRDefault="00147A48" w:rsidP="00147A48">
      <w:pPr>
        <w:ind w:left="284" w:hanging="284"/>
        <w:rPr>
          <w:sz w:val="24"/>
          <w:szCs w:val="24"/>
          <w:lang w:val="en-US"/>
        </w:rPr>
      </w:pPr>
      <w:r w:rsidRPr="00D91F1C">
        <w:rPr>
          <w:sz w:val="24"/>
          <w:szCs w:val="24"/>
          <w:lang w:val="en-US"/>
        </w:rPr>
        <w:t xml:space="preserve">Cornforth C. (1995), « Patterns of Cooperative Management: Beyond the Degeneration Thesis », </w:t>
      </w:r>
      <w:r w:rsidRPr="00D91F1C">
        <w:rPr>
          <w:i/>
          <w:sz w:val="24"/>
          <w:szCs w:val="24"/>
          <w:lang w:val="en-US"/>
        </w:rPr>
        <w:t>Economic and Industrial Democracy</w:t>
      </w:r>
      <w:r w:rsidRPr="00D91F1C">
        <w:rPr>
          <w:sz w:val="24"/>
          <w:szCs w:val="24"/>
          <w:lang w:val="en-US"/>
        </w:rPr>
        <w:t>, vol. 16, p. 487-523.</w:t>
      </w:r>
    </w:p>
    <w:p w:rsidR="00147A48" w:rsidRDefault="00147A48" w:rsidP="00147A48">
      <w:pPr>
        <w:ind w:left="284" w:hanging="284"/>
        <w:rPr>
          <w:sz w:val="24"/>
          <w:szCs w:val="24"/>
          <w:lang w:val="en-US"/>
        </w:rPr>
      </w:pPr>
      <w:r w:rsidRPr="00D91F1C">
        <w:rPr>
          <w:sz w:val="24"/>
          <w:szCs w:val="24"/>
          <w:lang w:val="en-US"/>
        </w:rPr>
        <w:t>Cornforth</w:t>
      </w:r>
      <w:r>
        <w:rPr>
          <w:sz w:val="24"/>
          <w:szCs w:val="24"/>
          <w:lang w:val="en-US"/>
        </w:rPr>
        <w:t xml:space="preserve"> C.</w:t>
      </w:r>
      <w:r w:rsidRPr="00D91F1C">
        <w:rPr>
          <w:sz w:val="24"/>
          <w:szCs w:val="24"/>
          <w:lang w:val="en-US"/>
        </w:rPr>
        <w:t xml:space="preserve"> </w:t>
      </w:r>
      <w:r>
        <w:rPr>
          <w:sz w:val="24"/>
          <w:szCs w:val="24"/>
          <w:lang w:val="en-US"/>
        </w:rPr>
        <w:t>(2004),</w:t>
      </w:r>
      <w:r w:rsidRPr="00D91F1C">
        <w:rPr>
          <w:lang w:val="en-US"/>
        </w:rPr>
        <w:t xml:space="preserve"> </w:t>
      </w:r>
      <w:r w:rsidRPr="00D91F1C">
        <w:rPr>
          <w:sz w:val="24"/>
          <w:szCs w:val="24"/>
          <w:lang w:val="en-US"/>
        </w:rPr>
        <w:t>« </w:t>
      </w:r>
      <w:r w:rsidRPr="00814904">
        <w:rPr>
          <w:sz w:val="24"/>
          <w:szCs w:val="24"/>
          <w:lang w:val="en-US"/>
        </w:rPr>
        <w:t xml:space="preserve">The </w:t>
      </w:r>
      <w:r>
        <w:rPr>
          <w:sz w:val="24"/>
          <w:szCs w:val="24"/>
          <w:lang w:val="en-US"/>
        </w:rPr>
        <w:t>G</w:t>
      </w:r>
      <w:r w:rsidRPr="00814904">
        <w:rPr>
          <w:sz w:val="24"/>
          <w:szCs w:val="24"/>
          <w:lang w:val="en-US"/>
        </w:rPr>
        <w:t xml:space="preserve">overnance of </w:t>
      </w:r>
      <w:r>
        <w:rPr>
          <w:sz w:val="24"/>
          <w:szCs w:val="24"/>
          <w:lang w:val="en-US"/>
        </w:rPr>
        <w:t>C</w:t>
      </w:r>
      <w:r w:rsidRPr="00D91F1C">
        <w:rPr>
          <w:sz w:val="24"/>
          <w:szCs w:val="24"/>
          <w:lang w:val="en-US"/>
        </w:rPr>
        <w:t xml:space="preserve">ooperatives and </w:t>
      </w:r>
      <w:r>
        <w:rPr>
          <w:sz w:val="24"/>
          <w:szCs w:val="24"/>
          <w:lang w:val="en-US"/>
        </w:rPr>
        <w:t>Mutual Association: A Paradox Perspective</w:t>
      </w:r>
      <w:r w:rsidRPr="00D91F1C">
        <w:rPr>
          <w:sz w:val="24"/>
          <w:szCs w:val="24"/>
          <w:lang w:val="en-US"/>
        </w:rPr>
        <w:t> »</w:t>
      </w:r>
      <w:r>
        <w:rPr>
          <w:sz w:val="24"/>
          <w:szCs w:val="24"/>
          <w:lang w:val="en-US"/>
        </w:rPr>
        <w:t xml:space="preserve">, </w:t>
      </w:r>
      <w:r w:rsidRPr="00D91F1C">
        <w:rPr>
          <w:i/>
          <w:sz w:val="24"/>
          <w:szCs w:val="24"/>
          <w:lang w:val="en-US"/>
        </w:rPr>
        <w:t>Annals of Public and Cooperative Economics</w:t>
      </w:r>
      <w:r>
        <w:rPr>
          <w:sz w:val="24"/>
          <w:szCs w:val="24"/>
          <w:lang w:val="en-US"/>
        </w:rPr>
        <w:t>, vol.  </w:t>
      </w:r>
      <w:proofErr w:type="gramStart"/>
      <w:r w:rsidRPr="00276AF3">
        <w:rPr>
          <w:sz w:val="24"/>
          <w:szCs w:val="24"/>
          <w:lang w:val="en-US"/>
        </w:rPr>
        <w:t>75</w:t>
      </w:r>
      <w:proofErr w:type="gramEnd"/>
      <w:r w:rsidRPr="00276AF3">
        <w:rPr>
          <w:sz w:val="24"/>
          <w:szCs w:val="24"/>
          <w:lang w:val="en-US"/>
        </w:rPr>
        <w:t>, n° 1, p. 11-32.</w:t>
      </w:r>
    </w:p>
    <w:p w:rsidR="00147A48" w:rsidRPr="004D403D" w:rsidRDefault="00147A48" w:rsidP="00147A48">
      <w:pPr>
        <w:spacing w:before="120" w:after="120"/>
        <w:ind w:left="284" w:hanging="284"/>
        <w:rPr>
          <w:sz w:val="24"/>
          <w:szCs w:val="24"/>
          <w:lang w:val="en-US"/>
        </w:rPr>
      </w:pPr>
      <w:r>
        <w:rPr>
          <w:sz w:val="24"/>
          <w:szCs w:val="24"/>
          <w:lang w:val="en-US"/>
        </w:rPr>
        <w:t>Cornforth C. (2012),</w:t>
      </w:r>
      <w:r w:rsidRPr="004D403D">
        <w:rPr>
          <w:sz w:val="24"/>
          <w:szCs w:val="24"/>
          <w:lang w:val="en-US"/>
        </w:rPr>
        <w:t xml:space="preserve"> </w:t>
      </w:r>
      <w:r w:rsidRPr="00D91F1C">
        <w:rPr>
          <w:sz w:val="24"/>
          <w:szCs w:val="24"/>
          <w:lang w:val="en-US"/>
        </w:rPr>
        <w:t>«</w:t>
      </w:r>
      <w:r>
        <w:rPr>
          <w:sz w:val="24"/>
          <w:szCs w:val="24"/>
          <w:lang w:val="en-US"/>
        </w:rPr>
        <w:t xml:space="preserve"> </w:t>
      </w:r>
      <w:r w:rsidRPr="004D403D">
        <w:rPr>
          <w:sz w:val="24"/>
          <w:szCs w:val="24"/>
          <w:lang w:val="en-US"/>
        </w:rPr>
        <w:t>Nonprofit Governance Research: Limitations of the Focus on Boards and</w:t>
      </w:r>
      <w:r>
        <w:rPr>
          <w:sz w:val="24"/>
          <w:szCs w:val="24"/>
          <w:lang w:val="en-US"/>
        </w:rPr>
        <w:t xml:space="preserve"> Suggestions for New Directions </w:t>
      </w:r>
      <w:r w:rsidRPr="00753F4A">
        <w:rPr>
          <w:sz w:val="24"/>
          <w:szCs w:val="24"/>
          <w:lang w:val="en-US"/>
        </w:rPr>
        <w:t>»,</w:t>
      </w:r>
      <w:r w:rsidRPr="004D403D">
        <w:rPr>
          <w:sz w:val="24"/>
          <w:szCs w:val="24"/>
          <w:lang w:val="en-US"/>
        </w:rPr>
        <w:t xml:space="preserve"> </w:t>
      </w:r>
      <w:r w:rsidRPr="004D403D">
        <w:rPr>
          <w:i/>
          <w:sz w:val="24"/>
          <w:szCs w:val="24"/>
          <w:lang w:val="en-US"/>
        </w:rPr>
        <w:t>Nonprofit and Voluntary Sector Quarterly</w:t>
      </w:r>
      <w:r w:rsidRPr="004D403D">
        <w:rPr>
          <w:sz w:val="24"/>
          <w:szCs w:val="24"/>
          <w:lang w:val="en-US"/>
        </w:rPr>
        <w:t xml:space="preserve">, </w:t>
      </w:r>
      <w:r>
        <w:rPr>
          <w:sz w:val="24"/>
          <w:szCs w:val="24"/>
          <w:lang w:val="en-US"/>
        </w:rPr>
        <w:t xml:space="preserve">n° </w:t>
      </w:r>
      <w:r w:rsidRPr="004D403D">
        <w:rPr>
          <w:sz w:val="24"/>
          <w:szCs w:val="24"/>
          <w:lang w:val="en-US"/>
        </w:rPr>
        <w:t xml:space="preserve">41(6), </w:t>
      </w:r>
      <w:r>
        <w:rPr>
          <w:sz w:val="24"/>
          <w:szCs w:val="24"/>
          <w:lang w:val="en-US"/>
        </w:rPr>
        <w:t xml:space="preserve">p. </w:t>
      </w:r>
      <w:r w:rsidRPr="004D403D">
        <w:rPr>
          <w:sz w:val="24"/>
          <w:szCs w:val="24"/>
          <w:lang w:val="en-US"/>
        </w:rPr>
        <w:t>1116-1135.</w:t>
      </w:r>
    </w:p>
    <w:p w:rsidR="00147A48" w:rsidRPr="00D91F1C" w:rsidRDefault="00147A48" w:rsidP="00147A48">
      <w:pPr>
        <w:ind w:left="284" w:hanging="284"/>
        <w:rPr>
          <w:sz w:val="24"/>
          <w:szCs w:val="24"/>
          <w:lang w:val="en-US"/>
        </w:rPr>
      </w:pPr>
      <w:r w:rsidRPr="00D91F1C">
        <w:rPr>
          <w:sz w:val="24"/>
          <w:szCs w:val="24"/>
          <w:lang w:val="en-US"/>
        </w:rPr>
        <w:t>DiMaggio P., Powel</w:t>
      </w:r>
      <w:r>
        <w:rPr>
          <w:sz w:val="24"/>
          <w:szCs w:val="24"/>
          <w:lang w:val="en-US"/>
        </w:rPr>
        <w:t>l</w:t>
      </w:r>
      <w:r w:rsidRPr="00D91F1C">
        <w:rPr>
          <w:sz w:val="24"/>
          <w:szCs w:val="24"/>
          <w:lang w:val="en-US"/>
        </w:rPr>
        <w:t xml:space="preserve"> W.</w:t>
      </w:r>
      <w:r>
        <w:rPr>
          <w:sz w:val="24"/>
          <w:szCs w:val="24"/>
          <w:lang w:val="en-US"/>
        </w:rPr>
        <w:t xml:space="preserve"> (</w:t>
      </w:r>
      <w:r w:rsidRPr="00D91F1C">
        <w:rPr>
          <w:sz w:val="24"/>
          <w:szCs w:val="24"/>
          <w:lang w:val="en-US"/>
        </w:rPr>
        <w:t>1983</w:t>
      </w:r>
      <w:r>
        <w:rPr>
          <w:sz w:val="24"/>
          <w:szCs w:val="24"/>
          <w:lang w:val="en-US"/>
        </w:rPr>
        <w:t>)</w:t>
      </w:r>
      <w:r w:rsidRPr="00D91F1C">
        <w:rPr>
          <w:sz w:val="24"/>
          <w:szCs w:val="24"/>
          <w:lang w:val="en-US"/>
        </w:rPr>
        <w:t>, « The Iron Cage Revisited: Institutional</w:t>
      </w:r>
      <w:r>
        <w:rPr>
          <w:sz w:val="24"/>
          <w:szCs w:val="24"/>
          <w:lang w:val="en-US"/>
        </w:rPr>
        <w:t xml:space="preserve"> </w:t>
      </w:r>
      <w:r w:rsidRPr="00D91F1C">
        <w:rPr>
          <w:sz w:val="24"/>
          <w:szCs w:val="24"/>
          <w:lang w:val="en-US"/>
        </w:rPr>
        <w:t>Isomorphism and Collective Rationality in Organizational Fields</w:t>
      </w:r>
      <w:r w:rsidRPr="002223AB">
        <w:rPr>
          <w:sz w:val="24"/>
          <w:szCs w:val="24"/>
          <w:lang w:val="en-US"/>
        </w:rPr>
        <w:t> »</w:t>
      </w:r>
      <w:r w:rsidRPr="00D91F1C">
        <w:rPr>
          <w:sz w:val="24"/>
          <w:szCs w:val="24"/>
          <w:lang w:val="en-US"/>
        </w:rPr>
        <w:t xml:space="preserve">, </w:t>
      </w:r>
      <w:r w:rsidRPr="00D91F1C">
        <w:rPr>
          <w:i/>
          <w:sz w:val="24"/>
          <w:szCs w:val="24"/>
          <w:lang w:val="en-US"/>
        </w:rPr>
        <w:t>American Sociological Review</w:t>
      </w:r>
      <w:r w:rsidRPr="00D91F1C">
        <w:rPr>
          <w:sz w:val="24"/>
          <w:szCs w:val="24"/>
          <w:lang w:val="en-US"/>
        </w:rPr>
        <w:t>, vol. 48, p.</w:t>
      </w:r>
      <w:r>
        <w:rPr>
          <w:sz w:val="24"/>
          <w:szCs w:val="24"/>
          <w:lang w:val="en-US"/>
        </w:rPr>
        <w:t> </w:t>
      </w:r>
      <w:r w:rsidRPr="00D91F1C">
        <w:rPr>
          <w:sz w:val="24"/>
          <w:szCs w:val="24"/>
          <w:lang w:val="en-US"/>
        </w:rPr>
        <w:t>147-160.</w:t>
      </w:r>
    </w:p>
    <w:p w:rsidR="00147A48" w:rsidRPr="008162FE" w:rsidRDefault="00147A48" w:rsidP="00147A48">
      <w:pPr>
        <w:ind w:left="284" w:hanging="284"/>
        <w:rPr>
          <w:sz w:val="24"/>
          <w:szCs w:val="24"/>
        </w:rPr>
      </w:pPr>
      <w:r w:rsidRPr="008162FE">
        <w:rPr>
          <w:sz w:val="24"/>
          <w:szCs w:val="24"/>
        </w:rPr>
        <w:t xml:space="preserve">Durance P. (2011), « La coopérative est-elle un modèle d'avenir pour le capitalisme ? Retour sur le cas de </w:t>
      </w:r>
      <w:proofErr w:type="spellStart"/>
      <w:r w:rsidRPr="008162FE">
        <w:rPr>
          <w:sz w:val="24"/>
          <w:szCs w:val="24"/>
        </w:rPr>
        <w:t>Mondragón</w:t>
      </w:r>
      <w:proofErr w:type="spellEnd"/>
      <w:r w:rsidRPr="008162FE">
        <w:rPr>
          <w:sz w:val="24"/>
          <w:szCs w:val="24"/>
        </w:rPr>
        <w:t xml:space="preserve"> », </w:t>
      </w:r>
      <w:r w:rsidRPr="008162FE">
        <w:rPr>
          <w:i/>
          <w:sz w:val="24"/>
          <w:szCs w:val="24"/>
        </w:rPr>
        <w:t>Annales des Mines - Gérer et comprendre</w:t>
      </w:r>
      <w:r w:rsidRPr="008162FE">
        <w:rPr>
          <w:sz w:val="24"/>
          <w:szCs w:val="24"/>
        </w:rPr>
        <w:t>, n°106, p.</w:t>
      </w:r>
      <w:r>
        <w:rPr>
          <w:sz w:val="24"/>
          <w:szCs w:val="24"/>
        </w:rPr>
        <w:t xml:space="preserve"> </w:t>
      </w:r>
      <w:r w:rsidRPr="008162FE">
        <w:rPr>
          <w:sz w:val="24"/>
          <w:szCs w:val="24"/>
        </w:rPr>
        <w:t>69-79.</w:t>
      </w:r>
    </w:p>
    <w:p w:rsidR="00147A48" w:rsidRDefault="00147A48" w:rsidP="00147A48">
      <w:pPr>
        <w:ind w:left="284" w:hanging="284"/>
        <w:rPr>
          <w:sz w:val="24"/>
          <w:szCs w:val="24"/>
          <w:lang w:val="en-GB"/>
        </w:rPr>
      </w:pPr>
      <w:proofErr w:type="spellStart"/>
      <w:r w:rsidRPr="00486BEE">
        <w:rPr>
          <w:sz w:val="24"/>
          <w:szCs w:val="24"/>
          <w:lang w:val="en-GB"/>
        </w:rPr>
        <w:t>Eisenhardt</w:t>
      </w:r>
      <w:proofErr w:type="spellEnd"/>
      <w:r>
        <w:rPr>
          <w:sz w:val="24"/>
          <w:szCs w:val="24"/>
          <w:lang w:val="en-GB"/>
        </w:rPr>
        <w:t xml:space="preserve"> K. (1989), </w:t>
      </w:r>
      <w:r w:rsidRPr="00753F4A">
        <w:rPr>
          <w:sz w:val="24"/>
          <w:szCs w:val="24"/>
          <w:lang w:val="en-US"/>
        </w:rPr>
        <w:t xml:space="preserve">« </w:t>
      </w:r>
      <w:r w:rsidRPr="00486BEE">
        <w:rPr>
          <w:bCs/>
          <w:sz w:val="24"/>
          <w:szCs w:val="24"/>
          <w:lang w:val="en-GB"/>
        </w:rPr>
        <w:t>Building Theories from Case Study Research</w:t>
      </w:r>
      <w:r>
        <w:rPr>
          <w:bCs/>
          <w:sz w:val="24"/>
          <w:szCs w:val="24"/>
          <w:lang w:val="en-GB"/>
        </w:rPr>
        <w:t xml:space="preserve"> </w:t>
      </w:r>
      <w:r w:rsidRPr="00753F4A">
        <w:rPr>
          <w:sz w:val="24"/>
          <w:szCs w:val="24"/>
          <w:lang w:val="en-US"/>
        </w:rPr>
        <w:t>»</w:t>
      </w:r>
      <w:r w:rsidRPr="00486BEE">
        <w:rPr>
          <w:b/>
          <w:bCs/>
          <w:sz w:val="24"/>
          <w:szCs w:val="24"/>
          <w:lang w:val="en-GB"/>
        </w:rPr>
        <w:t xml:space="preserve">, </w:t>
      </w:r>
      <w:r w:rsidRPr="00486BEE">
        <w:rPr>
          <w:i/>
          <w:iCs/>
          <w:sz w:val="24"/>
          <w:szCs w:val="24"/>
          <w:lang w:val="en-GB"/>
        </w:rPr>
        <w:t>Academy of Management. The Academy of Management Review</w:t>
      </w:r>
      <w:r w:rsidRPr="00486BEE">
        <w:rPr>
          <w:iCs/>
          <w:sz w:val="24"/>
          <w:szCs w:val="24"/>
          <w:lang w:val="en-GB"/>
        </w:rPr>
        <w:t>,</w:t>
      </w:r>
      <w:r w:rsidRPr="00486BEE">
        <w:rPr>
          <w:i/>
          <w:iCs/>
          <w:sz w:val="24"/>
          <w:szCs w:val="24"/>
          <w:lang w:val="en-GB"/>
        </w:rPr>
        <w:t xml:space="preserve"> </w:t>
      </w:r>
      <w:r w:rsidRPr="00486BEE">
        <w:rPr>
          <w:sz w:val="24"/>
          <w:szCs w:val="24"/>
          <w:lang w:val="en-GB"/>
        </w:rPr>
        <w:t>Oct</w:t>
      </w:r>
      <w:r>
        <w:rPr>
          <w:sz w:val="24"/>
          <w:szCs w:val="24"/>
          <w:lang w:val="en-GB"/>
        </w:rPr>
        <w:t>ober, n° 14(4)</w:t>
      </w:r>
      <w:r w:rsidRPr="00486BEE">
        <w:rPr>
          <w:sz w:val="24"/>
          <w:szCs w:val="24"/>
          <w:lang w:val="en-GB"/>
        </w:rPr>
        <w:t>, p. 532-550.</w:t>
      </w:r>
    </w:p>
    <w:p w:rsidR="00147A48" w:rsidRPr="00F80687" w:rsidRDefault="00147A48" w:rsidP="00147A48">
      <w:pPr>
        <w:ind w:left="284" w:hanging="284"/>
        <w:rPr>
          <w:sz w:val="24"/>
          <w:szCs w:val="24"/>
          <w:lang w:val="en-US"/>
        </w:rPr>
      </w:pPr>
      <w:proofErr w:type="spellStart"/>
      <w:r>
        <w:rPr>
          <w:sz w:val="24"/>
          <w:szCs w:val="24"/>
          <w:lang w:val="en-US"/>
        </w:rPr>
        <w:t>Fama</w:t>
      </w:r>
      <w:proofErr w:type="spellEnd"/>
      <w:r w:rsidRPr="00F80687">
        <w:rPr>
          <w:sz w:val="24"/>
          <w:szCs w:val="24"/>
          <w:lang w:val="en-US"/>
        </w:rPr>
        <w:t xml:space="preserve"> E., Jensen M. (1983), « Separation of Ownership and Control », </w:t>
      </w:r>
      <w:r w:rsidRPr="00F80687">
        <w:rPr>
          <w:i/>
          <w:sz w:val="24"/>
          <w:szCs w:val="24"/>
          <w:lang w:val="en-US"/>
        </w:rPr>
        <w:t>Journal of Law and Economics</w:t>
      </w:r>
      <w:r>
        <w:rPr>
          <w:sz w:val="24"/>
          <w:szCs w:val="24"/>
          <w:lang w:val="en-US"/>
        </w:rPr>
        <w:t>, vol. 26, n°</w:t>
      </w:r>
      <w:r w:rsidRPr="00F80687">
        <w:rPr>
          <w:sz w:val="24"/>
          <w:szCs w:val="24"/>
          <w:lang w:val="en-US"/>
        </w:rPr>
        <w:t xml:space="preserve"> 2, p. 301-325</w:t>
      </w:r>
    </w:p>
    <w:p w:rsidR="00147A48" w:rsidRDefault="00147A48" w:rsidP="00147A48">
      <w:pPr>
        <w:ind w:left="284" w:hanging="284"/>
        <w:rPr>
          <w:sz w:val="24"/>
          <w:szCs w:val="24"/>
        </w:rPr>
      </w:pPr>
      <w:proofErr w:type="spellStart"/>
      <w:r>
        <w:rPr>
          <w:sz w:val="24"/>
          <w:szCs w:val="24"/>
        </w:rPr>
        <w:t>Ferraton</w:t>
      </w:r>
      <w:proofErr w:type="spellEnd"/>
      <w:r>
        <w:rPr>
          <w:sz w:val="24"/>
          <w:szCs w:val="24"/>
        </w:rPr>
        <w:t xml:space="preserve"> C., </w:t>
      </w:r>
      <w:proofErr w:type="spellStart"/>
      <w:r>
        <w:rPr>
          <w:sz w:val="24"/>
          <w:szCs w:val="24"/>
        </w:rPr>
        <w:t>Petrella</w:t>
      </w:r>
      <w:proofErr w:type="spellEnd"/>
      <w:r>
        <w:rPr>
          <w:sz w:val="24"/>
          <w:szCs w:val="24"/>
        </w:rPr>
        <w:t xml:space="preserve"> F., </w:t>
      </w:r>
      <w:proofErr w:type="spellStart"/>
      <w:r>
        <w:rPr>
          <w:sz w:val="24"/>
          <w:szCs w:val="24"/>
        </w:rPr>
        <w:t>Richez-Battesti</w:t>
      </w:r>
      <w:proofErr w:type="spellEnd"/>
      <w:r>
        <w:rPr>
          <w:sz w:val="24"/>
          <w:szCs w:val="24"/>
        </w:rPr>
        <w:t xml:space="preserve"> N. et </w:t>
      </w:r>
      <w:proofErr w:type="spellStart"/>
      <w:r>
        <w:rPr>
          <w:sz w:val="24"/>
          <w:szCs w:val="24"/>
        </w:rPr>
        <w:t>Vallade</w:t>
      </w:r>
      <w:proofErr w:type="spellEnd"/>
      <w:r>
        <w:rPr>
          <w:sz w:val="24"/>
          <w:szCs w:val="24"/>
        </w:rPr>
        <w:t xml:space="preserve"> D. (2019), « Quelle fabrique de la gouvernance au sein des organisations culturelles », dans </w:t>
      </w:r>
      <w:r w:rsidRPr="006A676C">
        <w:rPr>
          <w:i/>
          <w:sz w:val="24"/>
          <w:szCs w:val="24"/>
        </w:rPr>
        <w:t>Culture et Economie sociale et solidaire</w:t>
      </w:r>
      <w:r>
        <w:rPr>
          <w:sz w:val="24"/>
          <w:szCs w:val="24"/>
        </w:rPr>
        <w:t xml:space="preserve">, </w:t>
      </w:r>
      <w:proofErr w:type="spellStart"/>
      <w:r>
        <w:rPr>
          <w:sz w:val="24"/>
          <w:szCs w:val="24"/>
        </w:rPr>
        <w:t>Defalvard</w:t>
      </w:r>
      <w:proofErr w:type="spellEnd"/>
      <w:r>
        <w:rPr>
          <w:sz w:val="24"/>
          <w:szCs w:val="24"/>
        </w:rPr>
        <w:t xml:space="preserve"> H. (</w:t>
      </w:r>
      <w:proofErr w:type="spellStart"/>
      <w:r>
        <w:rPr>
          <w:sz w:val="24"/>
          <w:szCs w:val="24"/>
        </w:rPr>
        <w:t>dir</w:t>
      </w:r>
      <w:proofErr w:type="spellEnd"/>
      <w:r>
        <w:rPr>
          <w:sz w:val="24"/>
          <w:szCs w:val="24"/>
        </w:rPr>
        <w:t xml:space="preserve">.), Presses universitaires de Grenoble. </w:t>
      </w:r>
    </w:p>
    <w:p w:rsidR="00147A48" w:rsidRPr="00B21F0E" w:rsidRDefault="00147A48" w:rsidP="00147A48">
      <w:pPr>
        <w:ind w:left="284" w:hanging="284"/>
        <w:rPr>
          <w:sz w:val="24"/>
          <w:szCs w:val="24"/>
          <w:lang w:val="en-US"/>
        </w:rPr>
      </w:pPr>
      <w:proofErr w:type="spellStart"/>
      <w:r w:rsidRPr="00753F4A">
        <w:rPr>
          <w:sz w:val="24"/>
          <w:szCs w:val="24"/>
          <w:lang w:val="en-US"/>
        </w:rPr>
        <w:t>Gioia</w:t>
      </w:r>
      <w:proofErr w:type="spellEnd"/>
      <w:r w:rsidRPr="00753F4A">
        <w:rPr>
          <w:sz w:val="24"/>
          <w:szCs w:val="24"/>
          <w:lang w:val="en-US"/>
        </w:rPr>
        <w:t xml:space="preserve"> D., Corley K. G., Hamilton A. L. (2013), « Seeking Qualitative Rigor in Inductive Research: Notes on the </w:t>
      </w:r>
      <w:proofErr w:type="spellStart"/>
      <w:r w:rsidRPr="00753F4A">
        <w:rPr>
          <w:sz w:val="24"/>
          <w:szCs w:val="24"/>
          <w:lang w:val="en-US"/>
        </w:rPr>
        <w:t>Gioia</w:t>
      </w:r>
      <w:proofErr w:type="spellEnd"/>
      <w:r w:rsidRPr="00753F4A">
        <w:rPr>
          <w:sz w:val="24"/>
          <w:szCs w:val="24"/>
          <w:lang w:val="en-US"/>
        </w:rPr>
        <w:t xml:space="preserve"> Methodology », </w:t>
      </w:r>
      <w:r w:rsidRPr="00753F4A">
        <w:rPr>
          <w:i/>
          <w:iCs/>
          <w:sz w:val="24"/>
          <w:szCs w:val="24"/>
          <w:lang w:val="en-US"/>
        </w:rPr>
        <w:t>Organizational Research Methods,</w:t>
      </w:r>
      <w:r w:rsidRPr="00753F4A">
        <w:rPr>
          <w:sz w:val="24"/>
          <w:szCs w:val="24"/>
          <w:lang w:val="en-US"/>
        </w:rPr>
        <w:t xml:space="preserve"> n° 16(1), p. </w:t>
      </w:r>
      <w:r w:rsidRPr="00753F4A">
        <w:rPr>
          <w:sz w:val="24"/>
          <w:szCs w:val="24"/>
          <w:lang w:val="en-US"/>
        </w:rPr>
        <w:lastRenderedPageBreak/>
        <w:t>15-31.</w:t>
      </w:r>
    </w:p>
    <w:p w:rsidR="00147A48" w:rsidRPr="00EF3C41" w:rsidRDefault="00147A48" w:rsidP="00147A48">
      <w:pPr>
        <w:ind w:left="284" w:hanging="284"/>
        <w:rPr>
          <w:sz w:val="24"/>
          <w:szCs w:val="24"/>
        </w:rPr>
      </w:pPr>
      <w:r w:rsidRPr="00EF3C41">
        <w:rPr>
          <w:sz w:val="24"/>
          <w:szCs w:val="24"/>
        </w:rPr>
        <w:t xml:space="preserve">Gomez P.-Y. (2014), « Coopération ou incitation : le rôle des ordres de gouvernance dans la trajectoire de l’entreprise », dans </w:t>
      </w:r>
      <w:r w:rsidRPr="00EF3C41">
        <w:rPr>
          <w:i/>
          <w:sz w:val="24"/>
          <w:szCs w:val="24"/>
        </w:rPr>
        <w:t>L’entreprise, point aveugle du savoir</w:t>
      </w:r>
      <w:r w:rsidRPr="00EF3C41">
        <w:rPr>
          <w:sz w:val="24"/>
          <w:szCs w:val="24"/>
        </w:rPr>
        <w:t xml:space="preserve">, </w:t>
      </w:r>
      <w:proofErr w:type="spellStart"/>
      <w:r w:rsidRPr="00EF3C41">
        <w:rPr>
          <w:sz w:val="24"/>
          <w:szCs w:val="24"/>
        </w:rPr>
        <w:t>Segrestin</w:t>
      </w:r>
      <w:proofErr w:type="spellEnd"/>
      <w:r w:rsidRPr="00EF3C41">
        <w:rPr>
          <w:sz w:val="24"/>
          <w:szCs w:val="24"/>
        </w:rPr>
        <w:t xml:space="preserve"> B., Roger B., </w:t>
      </w:r>
      <w:proofErr w:type="spellStart"/>
      <w:r w:rsidRPr="00EF3C41">
        <w:rPr>
          <w:sz w:val="24"/>
          <w:szCs w:val="24"/>
        </w:rPr>
        <w:t>Vernac</w:t>
      </w:r>
      <w:proofErr w:type="spellEnd"/>
      <w:r w:rsidRPr="00EF3C41">
        <w:rPr>
          <w:sz w:val="24"/>
          <w:szCs w:val="24"/>
        </w:rPr>
        <w:t xml:space="preserve"> S. (</w:t>
      </w:r>
      <w:proofErr w:type="spellStart"/>
      <w:r w:rsidRPr="00EF3C41">
        <w:rPr>
          <w:sz w:val="24"/>
          <w:szCs w:val="24"/>
        </w:rPr>
        <w:t>coord</w:t>
      </w:r>
      <w:proofErr w:type="spellEnd"/>
      <w:r w:rsidRPr="00EF3C41">
        <w:rPr>
          <w:sz w:val="24"/>
          <w:szCs w:val="24"/>
        </w:rPr>
        <w:t>.), Paris, Editions Sciences Humaines.</w:t>
      </w:r>
    </w:p>
    <w:p w:rsidR="00147A48" w:rsidRPr="00EF3C41" w:rsidRDefault="00147A48" w:rsidP="00147A48">
      <w:pPr>
        <w:ind w:left="284" w:hanging="284"/>
        <w:rPr>
          <w:sz w:val="24"/>
          <w:szCs w:val="24"/>
        </w:rPr>
      </w:pPr>
      <w:r w:rsidRPr="00EF3C41">
        <w:rPr>
          <w:sz w:val="24"/>
          <w:szCs w:val="24"/>
        </w:rPr>
        <w:t xml:space="preserve">Gomez P.-Y. (2018), </w:t>
      </w:r>
      <w:r w:rsidRPr="00EF3C41">
        <w:rPr>
          <w:i/>
          <w:sz w:val="24"/>
          <w:szCs w:val="24"/>
        </w:rPr>
        <w:t xml:space="preserve">La gouvernance d’entreprise, </w:t>
      </w:r>
      <w:r w:rsidRPr="00EF3C41">
        <w:rPr>
          <w:sz w:val="24"/>
          <w:szCs w:val="24"/>
        </w:rPr>
        <w:t>Paris, PUF, Que sais-je ?</w:t>
      </w:r>
    </w:p>
    <w:p w:rsidR="00147A48" w:rsidRPr="000234F0" w:rsidRDefault="00147A48" w:rsidP="00147A48">
      <w:pPr>
        <w:ind w:left="284" w:hanging="284"/>
        <w:rPr>
          <w:sz w:val="24"/>
          <w:szCs w:val="24"/>
        </w:rPr>
      </w:pPr>
      <w:proofErr w:type="spellStart"/>
      <w:r w:rsidRPr="000234F0">
        <w:rPr>
          <w:sz w:val="24"/>
          <w:szCs w:val="24"/>
        </w:rPr>
        <w:t>Hiez</w:t>
      </w:r>
      <w:proofErr w:type="spellEnd"/>
      <w:r w:rsidRPr="000234F0">
        <w:rPr>
          <w:sz w:val="24"/>
          <w:szCs w:val="24"/>
        </w:rPr>
        <w:t xml:space="preserve">, D. (2006), </w:t>
      </w:r>
      <w:r>
        <w:rPr>
          <w:sz w:val="24"/>
          <w:szCs w:val="24"/>
        </w:rPr>
        <w:t>« </w:t>
      </w:r>
      <w:r w:rsidRPr="000234F0">
        <w:rPr>
          <w:rStyle w:val="titre10"/>
          <w:sz w:val="24"/>
          <w:szCs w:val="24"/>
        </w:rPr>
        <w:t xml:space="preserve">Le coopérateur ouvrier ou la signification du principe de double qualité dans les </w:t>
      </w:r>
      <w:proofErr w:type="spellStart"/>
      <w:r w:rsidRPr="000234F0">
        <w:rPr>
          <w:rStyle w:val="titre10"/>
          <w:sz w:val="24"/>
          <w:szCs w:val="24"/>
        </w:rPr>
        <w:t>Scop</w:t>
      </w:r>
      <w:proofErr w:type="spellEnd"/>
      <w:r>
        <w:rPr>
          <w:rStyle w:val="titre10"/>
          <w:sz w:val="24"/>
          <w:szCs w:val="24"/>
        </w:rPr>
        <w:t> »</w:t>
      </w:r>
      <w:r w:rsidRPr="000234F0">
        <w:rPr>
          <w:rStyle w:val="titre10"/>
          <w:sz w:val="24"/>
          <w:szCs w:val="24"/>
        </w:rPr>
        <w:t xml:space="preserve">, </w:t>
      </w:r>
      <w:r w:rsidRPr="006A676C">
        <w:rPr>
          <w:rStyle w:val="titre10"/>
          <w:i/>
          <w:sz w:val="24"/>
          <w:szCs w:val="24"/>
        </w:rPr>
        <w:t>Revue internationale de l’économie sociale</w:t>
      </w:r>
      <w:r w:rsidRPr="000234F0">
        <w:rPr>
          <w:rStyle w:val="titre10"/>
          <w:sz w:val="24"/>
          <w:szCs w:val="24"/>
        </w:rPr>
        <w:t>, n°</w:t>
      </w:r>
      <w:r>
        <w:rPr>
          <w:rStyle w:val="titre10"/>
          <w:sz w:val="24"/>
          <w:szCs w:val="24"/>
        </w:rPr>
        <w:t xml:space="preserve"> </w:t>
      </w:r>
      <w:r w:rsidRPr="000234F0">
        <w:rPr>
          <w:rStyle w:val="titre10"/>
          <w:sz w:val="24"/>
          <w:szCs w:val="24"/>
        </w:rPr>
        <w:t>299, p.</w:t>
      </w:r>
      <w:r>
        <w:rPr>
          <w:rStyle w:val="titre10"/>
          <w:sz w:val="24"/>
          <w:szCs w:val="24"/>
        </w:rPr>
        <w:t xml:space="preserve"> </w:t>
      </w:r>
      <w:r w:rsidRPr="000234F0">
        <w:rPr>
          <w:rStyle w:val="titre10"/>
          <w:sz w:val="24"/>
          <w:szCs w:val="24"/>
        </w:rPr>
        <w:t xml:space="preserve">34-55. </w:t>
      </w:r>
    </w:p>
    <w:p w:rsidR="00147A48" w:rsidRPr="00F80687" w:rsidRDefault="00147A48" w:rsidP="00147A48">
      <w:pPr>
        <w:ind w:left="284" w:hanging="284"/>
        <w:rPr>
          <w:sz w:val="24"/>
          <w:szCs w:val="24"/>
          <w:lang w:val="en-US"/>
        </w:rPr>
      </w:pPr>
      <w:proofErr w:type="spellStart"/>
      <w:r w:rsidRPr="00F80687">
        <w:rPr>
          <w:sz w:val="24"/>
          <w:szCs w:val="24"/>
          <w:lang w:val="en-US"/>
        </w:rPr>
        <w:t>Jaumier</w:t>
      </w:r>
      <w:proofErr w:type="spellEnd"/>
      <w:r w:rsidRPr="00F80687">
        <w:rPr>
          <w:sz w:val="24"/>
          <w:szCs w:val="24"/>
          <w:lang w:val="en-US"/>
        </w:rPr>
        <w:t xml:space="preserve"> S. (2017), « Preventing chiefs from being chiefs: An ethnography of a co-operative </w:t>
      </w:r>
      <w:proofErr w:type="spellStart"/>
      <w:r w:rsidRPr="00F80687">
        <w:rPr>
          <w:sz w:val="24"/>
          <w:szCs w:val="24"/>
          <w:lang w:val="en-US"/>
        </w:rPr>
        <w:t>sheetmetal</w:t>
      </w:r>
      <w:proofErr w:type="spellEnd"/>
      <w:r w:rsidRPr="00F80687">
        <w:rPr>
          <w:sz w:val="24"/>
          <w:szCs w:val="24"/>
          <w:lang w:val="en-US"/>
        </w:rPr>
        <w:t xml:space="preserve"> factory », </w:t>
      </w:r>
      <w:r w:rsidRPr="00F80687">
        <w:rPr>
          <w:i/>
          <w:sz w:val="24"/>
          <w:szCs w:val="24"/>
          <w:lang w:val="en-US"/>
        </w:rPr>
        <w:t>Organization</w:t>
      </w:r>
      <w:r w:rsidRPr="00F80687">
        <w:rPr>
          <w:sz w:val="24"/>
          <w:szCs w:val="24"/>
          <w:lang w:val="en-US"/>
        </w:rPr>
        <w:t xml:space="preserve">, </w:t>
      </w:r>
      <w:r>
        <w:rPr>
          <w:sz w:val="24"/>
          <w:szCs w:val="24"/>
          <w:lang w:val="en-US"/>
        </w:rPr>
        <w:t xml:space="preserve">n° </w:t>
      </w:r>
      <w:r w:rsidRPr="00F80687">
        <w:rPr>
          <w:sz w:val="24"/>
          <w:szCs w:val="24"/>
          <w:lang w:val="en-US"/>
        </w:rPr>
        <w:t>24(2), p.</w:t>
      </w:r>
      <w:r>
        <w:rPr>
          <w:sz w:val="24"/>
          <w:szCs w:val="24"/>
          <w:lang w:val="en-US"/>
        </w:rPr>
        <w:t xml:space="preserve"> </w:t>
      </w:r>
      <w:r w:rsidRPr="00F80687">
        <w:rPr>
          <w:sz w:val="24"/>
          <w:szCs w:val="24"/>
          <w:lang w:val="en-US"/>
        </w:rPr>
        <w:t>218-239.</w:t>
      </w:r>
    </w:p>
    <w:p w:rsidR="00147A48" w:rsidRPr="00AF39A0" w:rsidRDefault="00147A48" w:rsidP="00147A48">
      <w:pPr>
        <w:ind w:left="284" w:hanging="284"/>
        <w:rPr>
          <w:sz w:val="24"/>
          <w:szCs w:val="24"/>
        </w:rPr>
      </w:pPr>
      <w:proofErr w:type="spellStart"/>
      <w:r>
        <w:rPr>
          <w:sz w:val="24"/>
          <w:szCs w:val="24"/>
        </w:rPr>
        <w:t>Juban</w:t>
      </w:r>
      <w:proofErr w:type="spellEnd"/>
      <w:r>
        <w:rPr>
          <w:sz w:val="24"/>
          <w:szCs w:val="24"/>
        </w:rPr>
        <w:t xml:space="preserve"> J.-Y. (2019), « Pérenniser la gouvernance démocratique dans une organisation fondée sur un projet socio-politique. Etude de cas de la Société Coopérative et Participative </w:t>
      </w:r>
      <w:proofErr w:type="spellStart"/>
      <w:r>
        <w:rPr>
          <w:sz w:val="24"/>
          <w:szCs w:val="24"/>
        </w:rPr>
        <w:t>Ardelaine</w:t>
      </w:r>
      <w:proofErr w:type="spellEnd"/>
      <w:r>
        <w:rPr>
          <w:sz w:val="24"/>
          <w:szCs w:val="24"/>
        </w:rPr>
        <w:t xml:space="preserve"> », </w:t>
      </w:r>
      <w:r>
        <w:rPr>
          <w:i/>
          <w:sz w:val="24"/>
          <w:szCs w:val="24"/>
        </w:rPr>
        <w:t xml:space="preserve">RIMHE, </w:t>
      </w:r>
      <w:r>
        <w:rPr>
          <w:sz w:val="24"/>
          <w:szCs w:val="24"/>
        </w:rPr>
        <w:t>n° 35, p. 24-49.</w:t>
      </w:r>
    </w:p>
    <w:p w:rsidR="00147A48" w:rsidRDefault="00147A48" w:rsidP="00147A48">
      <w:pPr>
        <w:ind w:left="284" w:hanging="284"/>
        <w:rPr>
          <w:sz w:val="24"/>
          <w:szCs w:val="24"/>
        </w:rPr>
      </w:pPr>
      <w:r w:rsidRPr="00486BEE">
        <w:rPr>
          <w:sz w:val="24"/>
          <w:szCs w:val="24"/>
        </w:rPr>
        <w:t xml:space="preserve">Koenig G. (1993), « Production de la connaissance et constitution des pratiques organisationnelles », </w:t>
      </w:r>
      <w:r w:rsidRPr="00486BEE">
        <w:rPr>
          <w:bCs/>
          <w:i/>
          <w:sz w:val="24"/>
          <w:szCs w:val="24"/>
        </w:rPr>
        <w:t>Revue de GRH</w:t>
      </w:r>
      <w:r>
        <w:rPr>
          <w:sz w:val="24"/>
          <w:szCs w:val="24"/>
        </w:rPr>
        <w:t>,</w:t>
      </w:r>
      <w:r w:rsidRPr="00486BEE">
        <w:rPr>
          <w:sz w:val="24"/>
          <w:szCs w:val="24"/>
        </w:rPr>
        <w:t xml:space="preserve"> n°</w:t>
      </w:r>
      <w:r>
        <w:rPr>
          <w:sz w:val="24"/>
          <w:szCs w:val="24"/>
        </w:rPr>
        <w:t xml:space="preserve"> </w:t>
      </w:r>
      <w:r w:rsidRPr="00486BEE">
        <w:rPr>
          <w:sz w:val="24"/>
          <w:szCs w:val="24"/>
        </w:rPr>
        <w:t>9, p. 4-17.</w:t>
      </w:r>
    </w:p>
    <w:p w:rsidR="00147A48" w:rsidRPr="00753F4A" w:rsidRDefault="00147A48" w:rsidP="00147A48">
      <w:pPr>
        <w:ind w:left="284" w:hanging="284"/>
        <w:rPr>
          <w:sz w:val="24"/>
          <w:szCs w:val="24"/>
          <w:lang w:val="en-US"/>
        </w:rPr>
      </w:pPr>
      <w:proofErr w:type="spellStart"/>
      <w:r w:rsidRPr="00F80687">
        <w:rPr>
          <w:sz w:val="24"/>
          <w:szCs w:val="24"/>
          <w:lang w:val="en-US"/>
        </w:rPr>
        <w:t>Paranque</w:t>
      </w:r>
      <w:proofErr w:type="spellEnd"/>
      <w:r w:rsidRPr="00F80687">
        <w:rPr>
          <w:sz w:val="24"/>
          <w:szCs w:val="24"/>
          <w:lang w:val="en-US"/>
        </w:rPr>
        <w:t xml:space="preserve"> B., Willmott H. (2014), « Cooperatives: </w:t>
      </w:r>
      <w:proofErr w:type="spellStart"/>
      <w:r w:rsidRPr="00F80687">
        <w:rPr>
          <w:sz w:val="24"/>
          <w:szCs w:val="24"/>
          <w:lang w:val="en-US"/>
        </w:rPr>
        <w:t>saviours</w:t>
      </w:r>
      <w:proofErr w:type="spellEnd"/>
      <w:r w:rsidRPr="00F80687">
        <w:rPr>
          <w:sz w:val="24"/>
          <w:szCs w:val="24"/>
          <w:lang w:val="en-US"/>
        </w:rPr>
        <w:t xml:space="preserve"> or gravediggers of capitalism? </w:t>
      </w:r>
      <w:r w:rsidRPr="00753F4A">
        <w:rPr>
          <w:sz w:val="24"/>
          <w:szCs w:val="24"/>
          <w:lang w:val="en-US"/>
        </w:rPr>
        <w:t xml:space="preserve">Critical performativity and the John Lewis Partnership », </w:t>
      </w:r>
      <w:r w:rsidRPr="00753F4A">
        <w:rPr>
          <w:i/>
          <w:sz w:val="24"/>
          <w:szCs w:val="24"/>
          <w:lang w:val="en-US"/>
        </w:rPr>
        <w:t>Organization</w:t>
      </w:r>
      <w:r w:rsidRPr="00753F4A">
        <w:rPr>
          <w:sz w:val="24"/>
          <w:szCs w:val="24"/>
          <w:lang w:val="en-US"/>
        </w:rPr>
        <w:t>, n° 21(5), p. 604-625.</w:t>
      </w:r>
    </w:p>
    <w:p w:rsidR="00147A48" w:rsidRDefault="00147A48" w:rsidP="00147A48">
      <w:pPr>
        <w:ind w:left="284" w:hanging="284"/>
        <w:rPr>
          <w:sz w:val="24"/>
          <w:szCs w:val="24"/>
        </w:rPr>
      </w:pPr>
      <w:proofErr w:type="spellStart"/>
      <w:r w:rsidRPr="006508E9">
        <w:rPr>
          <w:sz w:val="24"/>
          <w:szCs w:val="24"/>
        </w:rPr>
        <w:t>Sibieude</w:t>
      </w:r>
      <w:proofErr w:type="spellEnd"/>
      <w:r w:rsidRPr="006508E9">
        <w:rPr>
          <w:sz w:val="24"/>
          <w:szCs w:val="24"/>
        </w:rPr>
        <w:t xml:space="preserve"> T., </w:t>
      </w:r>
      <w:r>
        <w:rPr>
          <w:sz w:val="24"/>
          <w:szCs w:val="24"/>
        </w:rPr>
        <w:t>(</w:t>
      </w:r>
      <w:r w:rsidRPr="006508E9">
        <w:rPr>
          <w:sz w:val="24"/>
          <w:szCs w:val="24"/>
        </w:rPr>
        <w:t>2007</w:t>
      </w:r>
      <w:r>
        <w:rPr>
          <w:sz w:val="24"/>
          <w:szCs w:val="24"/>
        </w:rPr>
        <w:t>)</w:t>
      </w:r>
      <w:r w:rsidRPr="006508E9">
        <w:rPr>
          <w:sz w:val="24"/>
          <w:szCs w:val="24"/>
        </w:rPr>
        <w:t>, « La création d’entreprise</w:t>
      </w:r>
      <w:r>
        <w:rPr>
          <w:sz w:val="24"/>
          <w:szCs w:val="24"/>
        </w:rPr>
        <w:t xml:space="preserve"> </w:t>
      </w:r>
      <w:r w:rsidRPr="006508E9">
        <w:rPr>
          <w:sz w:val="24"/>
          <w:szCs w:val="24"/>
        </w:rPr>
        <w:t>dans l’économie sociale : le rôle des grands</w:t>
      </w:r>
      <w:r>
        <w:rPr>
          <w:sz w:val="24"/>
          <w:szCs w:val="24"/>
        </w:rPr>
        <w:t xml:space="preserve"> </w:t>
      </w:r>
      <w:r w:rsidRPr="006508E9">
        <w:rPr>
          <w:sz w:val="24"/>
          <w:szCs w:val="24"/>
        </w:rPr>
        <w:t xml:space="preserve">acteurs du secteur », </w:t>
      </w:r>
      <w:proofErr w:type="spellStart"/>
      <w:r w:rsidRPr="006508E9">
        <w:rPr>
          <w:i/>
          <w:sz w:val="24"/>
          <w:szCs w:val="24"/>
        </w:rPr>
        <w:t>Recma</w:t>
      </w:r>
      <w:proofErr w:type="spellEnd"/>
      <w:r w:rsidRPr="006508E9">
        <w:rPr>
          <w:sz w:val="24"/>
          <w:szCs w:val="24"/>
        </w:rPr>
        <w:t>, n° 305, p. 9-31.</w:t>
      </w:r>
    </w:p>
    <w:p w:rsidR="00147A48" w:rsidRDefault="00147A48" w:rsidP="00147A48">
      <w:pPr>
        <w:ind w:left="284" w:hanging="284"/>
        <w:rPr>
          <w:sz w:val="24"/>
          <w:szCs w:val="24"/>
          <w:lang w:val="en-US"/>
        </w:rPr>
      </w:pPr>
      <w:r w:rsidRPr="008162FE">
        <w:rPr>
          <w:sz w:val="24"/>
          <w:szCs w:val="24"/>
          <w:lang w:val="en-US"/>
        </w:rPr>
        <w:t xml:space="preserve">Webb S., Webb B. (1897), </w:t>
      </w:r>
      <w:r w:rsidRPr="008162FE">
        <w:rPr>
          <w:i/>
          <w:sz w:val="24"/>
          <w:szCs w:val="24"/>
          <w:lang w:val="en-US"/>
        </w:rPr>
        <w:t xml:space="preserve">Industrial Democracy, </w:t>
      </w:r>
      <w:proofErr w:type="spellStart"/>
      <w:r w:rsidRPr="008162FE">
        <w:rPr>
          <w:sz w:val="24"/>
          <w:szCs w:val="24"/>
          <w:lang w:val="en-US"/>
        </w:rPr>
        <w:t>Londres</w:t>
      </w:r>
      <w:proofErr w:type="spellEnd"/>
      <w:r w:rsidRPr="008162FE">
        <w:rPr>
          <w:sz w:val="24"/>
          <w:szCs w:val="24"/>
          <w:lang w:val="en-US"/>
        </w:rPr>
        <w:t>, Longmans, Green and Co.</w:t>
      </w:r>
    </w:p>
    <w:p w:rsidR="00147A48" w:rsidRPr="00147A48" w:rsidRDefault="00147A48" w:rsidP="00147A48">
      <w:pPr>
        <w:rPr>
          <w:lang w:val="en-US"/>
        </w:rPr>
      </w:pPr>
    </w:p>
    <w:sectPr w:rsidR="00147A48" w:rsidRPr="00147A48" w:rsidSect="007628D4">
      <w:footerReference w:type="default" r:id="rId8"/>
      <w:type w:val="continuous"/>
      <w:pgSz w:w="11910" w:h="16840" w:code="9"/>
      <w:pgMar w:top="993" w:right="1281" w:bottom="709" w:left="1281"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19" w:rsidRDefault="00375419">
      <w:r>
        <w:separator/>
      </w:r>
    </w:p>
  </w:endnote>
  <w:endnote w:type="continuationSeparator" w:id="0">
    <w:p w:rsidR="00375419" w:rsidRDefault="0037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5D" w:rsidRDefault="00281F47">
    <w:pPr>
      <w:pStyle w:val="Corpsdetexte"/>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3683000</wp:posOffset>
              </wp:positionH>
              <wp:positionV relativeFrom="page">
                <wp:posOffset>9917430</wp:posOffset>
              </wp:positionV>
              <wp:extent cx="1943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5D" w:rsidRDefault="00744F4A">
                          <w:pPr>
                            <w:pStyle w:val="Corpsdetexte"/>
                            <w:spacing w:line="245" w:lineRule="exact"/>
                            <w:ind w:left="40"/>
                            <w:rPr>
                              <w:rFonts w:ascii="Calibri"/>
                            </w:rPr>
                          </w:pPr>
                          <w:r>
                            <w:fldChar w:fldCharType="begin"/>
                          </w:r>
                          <w:r>
                            <w:rPr>
                              <w:rFonts w:ascii="Calibri"/>
                            </w:rPr>
                            <w:instrText xml:space="preserve"> PAGE </w:instrText>
                          </w:r>
                          <w:r>
                            <w:fldChar w:fldCharType="separate"/>
                          </w:r>
                          <w:r w:rsidR="00147A48">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pt;margin-top:780.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" filled="f" stroked="f">
              <v:textbox inset="0,0,0,0">
                <w:txbxContent>
                  <w:p w:rsidR="0088175D" w:rsidRDefault="00744F4A">
                    <w:pPr>
                      <w:pStyle w:val="Corpsdetexte"/>
                      <w:spacing w:line="245" w:lineRule="exact"/>
                      <w:ind w:left="40"/>
                      <w:rPr>
                        <w:rFonts w:ascii="Calibri"/>
                      </w:rPr>
                    </w:pPr>
                    <w:r>
                      <w:fldChar w:fldCharType="begin"/>
                    </w:r>
                    <w:r>
                      <w:rPr>
                        <w:rFonts w:ascii="Calibri"/>
                      </w:rPr>
                      <w:instrText xml:space="preserve"> PAGE </w:instrText>
                    </w:r>
                    <w:r>
                      <w:fldChar w:fldCharType="separate"/>
                    </w:r>
                    <w:r w:rsidR="00147A48">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19" w:rsidRDefault="00375419">
      <w:r>
        <w:separator/>
      </w:r>
    </w:p>
  </w:footnote>
  <w:footnote w:type="continuationSeparator" w:id="0">
    <w:p w:rsidR="00375419" w:rsidRDefault="0037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18A9"/>
    <w:multiLevelType w:val="multilevel"/>
    <w:tmpl w:val="BC3E18FC"/>
    <w:lvl w:ilvl="0">
      <w:start w:val="1"/>
      <w:numFmt w:val="decimal"/>
      <w:lvlText w:val="%1-"/>
      <w:lvlJc w:val="left"/>
      <w:pPr>
        <w:ind w:left="136" w:hanging="360"/>
        <w:jc w:val="left"/>
      </w:pPr>
      <w:rPr>
        <w:rFonts w:ascii="Times New Roman" w:eastAsia="Times New Roman" w:hAnsi="Times New Roman" w:cs="Times New Roman" w:hint="default"/>
        <w:w w:val="100"/>
        <w:sz w:val="22"/>
        <w:szCs w:val="22"/>
        <w:lang w:val="fr-FR" w:eastAsia="fr-FR" w:bidi="fr-FR"/>
      </w:rPr>
    </w:lvl>
    <w:lvl w:ilvl="1">
      <w:start w:val="1"/>
      <w:numFmt w:val="decimal"/>
      <w:lvlText w:val="%1-%2"/>
      <w:lvlJc w:val="left"/>
      <w:pPr>
        <w:ind w:left="482" w:hanging="346"/>
        <w:jc w:val="left"/>
      </w:pPr>
      <w:rPr>
        <w:rFonts w:ascii="Times New Roman" w:eastAsia="Times New Roman" w:hAnsi="Times New Roman" w:cs="Times New Roman" w:hint="default"/>
        <w:spacing w:val="-4"/>
        <w:w w:val="100"/>
        <w:sz w:val="22"/>
        <w:szCs w:val="22"/>
        <w:lang w:val="fr-FR" w:eastAsia="fr-FR" w:bidi="fr-FR"/>
      </w:rPr>
    </w:lvl>
    <w:lvl w:ilvl="2">
      <w:numFmt w:val="bullet"/>
      <w:lvlText w:val="•"/>
      <w:lvlJc w:val="left"/>
      <w:pPr>
        <w:ind w:left="1465" w:hanging="346"/>
      </w:pPr>
      <w:rPr>
        <w:rFonts w:hint="default"/>
        <w:lang w:val="fr-FR" w:eastAsia="fr-FR" w:bidi="fr-FR"/>
      </w:rPr>
    </w:lvl>
    <w:lvl w:ilvl="3">
      <w:numFmt w:val="bullet"/>
      <w:lvlText w:val="•"/>
      <w:lvlJc w:val="left"/>
      <w:pPr>
        <w:ind w:left="2450" w:hanging="346"/>
      </w:pPr>
      <w:rPr>
        <w:rFonts w:hint="default"/>
        <w:lang w:val="fr-FR" w:eastAsia="fr-FR" w:bidi="fr-FR"/>
      </w:rPr>
    </w:lvl>
    <w:lvl w:ilvl="4">
      <w:numFmt w:val="bullet"/>
      <w:lvlText w:val="•"/>
      <w:lvlJc w:val="left"/>
      <w:pPr>
        <w:ind w:left="3435" w:hanging="346"/>
      </w:pPr>
      <w:rPr>
        <w:rFonts w:hint="default"/>
        <w:lang w:val="fr-FR" w:eastAsia="fr-FR" w:bidi="fr-FR"/>
      </w:rPr>
    </w:lvl>
    <w:lvl w:ilvl="5">
      <w:numFmt w:val="bullet"/>
      <w:lvlText w:val="•"/>
      <w:lvlJc w:val="left"/>
      <w:pPr>
        <w:ind w:left="4420" w:hanging="346"/>
      </w:pPr>
      <w:rPr>
        <w:rFonts w:hint="default"/>
        <w:lang w:val="fr-FR" w:eastAsia="fr-FR" w:bidi="fr-FR"/>
      </w:rPr>
    </w:lvl>
    <w:lvl w:ilvl="6">
      <w:numFmt w:val="bullet"/>
      <w:lvlText w:val="•"/>
      <w:lvlJc w:val="left"/>
      <w:pPr>
        <w:ind w:left="5405" w:hanging="346"/>
      </w:pPr>
      <w:rPr>
        <w:rFonts w:hint="default"/>
        <w:lang w:val="fr-FR" w:eastAsia="fr-FR" w:bidi="fr-FR"/>
      </w:rPr>
    </w:lvl>
    <w:lvl w:ilvl="7">
      <w:numFmt w:val="bullet"/>
      <w:lvlText w:val="•"/>
      <w:lvlJc w:val="left"/>
      <w:pPr>
        <w:ind w:left="6390" w:hanging="346"/>
      </w:pPr>
      <w:rPr>
        <w:rFonts w:hint="default"/>
        <w:lang w:val="fr-FR" w:eastAsia="fr-FR" w:bidi="fr-FR"/>
      </w:rPr>
    </w:lvl>
    <w:lvl w:ilvl="8">
      <w:numFmt w:val="bullet"/>
      <w:lvlText w:val="•"/>
      <w:lvlJc w:val="left"/>
      <w:pPr>
        <w:ind w:left="7376" w:hanging="346"/>
      </w:pPr>
      <w:rPr>
        <w:rFonts w:hint="default"/>
        <w:lang w:val="fr-FR" w:eastAsia="fr-FR" w:bidi="fr-FR"/>
      </w:rPr>
    </w:lvl>
  </w:abstractNum>
  <w:abstractNum w:abstractNumId="1" w15:restartNumberingAfterBreak="0">
    <w:nsid w:val="5F9A6747"/>
    <w:multiLevelType w:val="multilevel"/>
    <w:tmpl w:val="E81E5404"/>
    <w:lvl w:ilvl="0">
      <w:start w:val="3"/>
      <w:numFmt w:val="decimal"/>
      <w:lvlText w:val="%1"/>
      <w:lvlJc w:val="left"/>
      <w:pPr>
        <w:ind w:left="467" w:hanging="332"/>
        <w:jc w:val="left"/>
      </w:pPr>
      <w:rPr>
        <w:rFonts w:hint="default"/>
        <w:lang w:val="fr-FR" w:eastAsia="fr-FR" w:bidi="fr-FR"/>
      </w:rPr>
    </w:lvl>
    <w:lvl w:ilvl="1">
      <w:start w:val="1"/>
      <w:numFmt w:val="decimal"/>
      <w:lvlText w:val="%1.%2"/>
      <w:lvlJc w:val="left"/>
      <w:pPr>
        <w:ind w:left="467" w:hanging="332"/>
        <w:jc w:val="left"/>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2237" w:hanging="332"/>
      </w:pPr>
      <w:rPr>
        <w:rFonts w:hint="default"/>
        <w:lang w:val="fr-FR" w:eastAsia="fr-FR" w:bidi="fr-FR"/>
      </w:rPr>
    </w:lvl>
    <w:lvl w:ilvl="3">
      <w:numFmt w:val="bullet"/>
      <w:lvlText w:val="•"/>
      <w:lvlJc w:val="left"/>
      <w:pPr>
        <w:ind w:left="3125" w:hanging="332"/>
      </w:pPr>
      <w:rPr>
        <w:rFonts w:hint="default"/>
        <w:lang w:val="fr-FR" w:eastAsia="fr-FR" w:bidi="fr-FR"/>
      </w:rPr>
    </w:lvl>
    <w:lvl w:ilvl="4">
      <w:numFmt w:val="bullet"/>
      <w:lvlText w:val="•"/>
      <w:lvlJc w:val="left"/>
      <w:pPr>
        <w:ind w:left="4014" w:hanging="332"/>
      </w:pPr>
      <w:rPr>
        <w:rFonts w:hint="default"/>
        <w:lang w:val="fr-FR" w:eastAsia="fr-FR" w:bidi="fr-FR"/>
      </w:rPr>
    </w:lvl>
    <w:lvl w:ilvl="5">
      <w:numFmt w:val="bullet"/>
      <w:lvlText w:val="•"/>
      <w:lvlJc w:val="left"/>
      <w:pPr>
        <w:ind w:left="4903" w:hanging="332"/>
      </w:pPr>
      <w:rPr>
        <w:rFonts w:hint="default"/>
        <w:lang w:val="fr-FR" w:eastAsia="fr-FR" w:bidi="fr-FR"/>
      </w:rPr>
    </w:lvl>
    <w:lvl w:ilvl="6">
      <w:numFmt w:val="bullet"/>
      <w:lvlText w:val="•"/>
      <w:lvlJc w:val="left"/>
      <w:pPr>
        <w:ind w:left="5791" w:hanging="332"/>
      </w:pPr>
      <w:rPr>
        <w:rFonts w:hint="default"/>
        <w:lang w:val="fr-FR" w:eastAsia="fr-FR" w:bidi="fr-FR"/>
      </w:rPr>
    </w:lvl>
    <w:lvl w:ilvl="7">
      <w:numFmt w:val="bullet"/>
      <w:lvlText w:val="•"/>
      <w:lvlJc w:val="left"/>
      <w:pPr>
        <w:ind w:left="6680" w:hanging="332"/>
      </w:pPr>
      <w:rPr>
        <w:rFonts w:hint="default"/>
        <w:lang w:val="fr-FR" w:eastAsia="fr-FR" w:bidi="fr-FR"/>
      </w:rPr>
    </w:lvl>
    <w:lvl w:ilvl="8">
      <w:numFmt w:val="bullet"/>
      <w:lvlText w:val="•"/>
      <w:lvlJc w:val="left"/>
      <w:pPr>
        <w:ind w:left="7569" w:hanging="332"/>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5D"/>
    <w:rsid w:val="00147A48"/>
    <w:rsid w:val="002342D9"/>
    <w:rsid w:val="00281F47"/>
    <w:rsid w:val="003668F5"/>
    <w:rsid w:val="00375419"/>
    <w:rsid w:val="005473B8"/>
    <w:rsid w:val="005778D4"/>
    <w:rsid w:val="006652E6"/>
    <w:rsid w:val="007135C6"/>
    <w:rsid w:val="00744F4A"/>
    <w:rsid w:val="0076286C"/>
    <w:rsid w:val="007628D4"/>
    <w:rsid w:val="0088175D"/>
    <w:rsid w:val="009B7BA5"/>
    <w:rsid w:val="00AD22DF"/>
    <w:rsid w:val="00B90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9895"/>
  <w15:docId w15:val="{BE8A732E-4283-4153-A37B-B52EB5F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link w:val="Titre1Car"/>
    <w:uiPriority w:val="1"/>
    <w:qFormat/>
    <w:rsid w:val="00B90396"/>
    <w:pPr>
      <w:spacing w:before="74"/>
      <w:ind w:left="116"/>
      <w:outlineLvl w:val="0"/>
    </w:pPr>
    <w:rPr>
      <w:b/>
      <w:bCs/>
      <w:sz w:val="24"/>
      <w:szCs w:val="24"/>
    </w:rPr>
  </w:style>
  <w:style w:type="paragraph" w:styleId="Titre2">
    <w:name w:val="heading 2"/>
    <w:basedOn w:val="Normal"/>
    <w:link w:val="Titre2Car"/>
    <w:uiPriority w:val="1"/>
    <w:qFormat/>
    <w:rsid w:val="00B90396"/>
    <w:pPr>
      <w:spacing w:before="45"/>
      <w:ind w:left="116"/>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36"/>
    </w:pPr>
  </w:style>
  <w:style w:type="paragraph" w:styleId="Paragraphedeliste">
    <w:name w:val="List Paragraph"/>
    <w:basedOn w:val="Normal"/>
    <w:uiPriority w:val="1"/>
    <w:qFormat/>
    <w:pPr>
      <w:ind w:left="136" w:hanging="346"/>
      <w:jc w:val="both"/>
    </w:pPr>
  </w:style>
  <w:style w:type="paragraph" w:customStyle="1" w:styleId="TableParagraph">
    <w:name w:val="Table Paragraph"/>
    <w:basedOn w:val="Normal"/>
    <w:uiPriority w:val="1"/>
    <w:qFormat/>
    <w:pPr>
      <w:ind w:left="57"/>
    </w:pPr>
  </w:style>
  <w:style w:type="paragraph" w:styleId="Notedebasdepage">
    <w:name w:val="footnote text"/>
    <w:basedOn w:val="Normal"/>
    <w:link w:val="NotedebasdepageCar"/>
    <w:uiPriority w:val="99"/>
    <w:semiHidden/>
    <w:unhideWhenUsed/>
    <w:rsid w:val="00281F47"/>
    <w:rPr>
      <w:sz w:val="20"/>
      <w:szCs w:val="20"/>
    </w:rPr>
  </w:style>
  <w:style w:type="character" w:customStyle="1" w:styleId="NotedebasdepageCar">
    <w:name w:val="Note de bas de page Car"/>
    <w:basedOn w:val="Policepardfaut"/>
    <w:link w:val="Notedebasdepage"/>
    <w:uiPriority w:val="99"/>
    <w:semiHidden/>
    <w:rsid w:val="00281F47"/>
    <w:rPr>
      <w:rFonts w:ascii="Times New Roman" w:eastAsia="Times New Roman" w:hAnsi="Times New Roman" w:cs="Times New Roman"/>
      <w:sz w:val="20"/>
      <w:szCs w:val="20"/>
      <w:lang w:val="fr-FR" w:eastAsia="fr-FR" w:bidi="fr-FR"/>
    </w:rPr>
  </w:style>
  <w:style w:type="character" w:styleId="Appelnotedebasdep">
    <w:name w:val="footnote reference"/>
    <w:basedOn w:val="Policepardfaut"/>
    <w:uiPriority w:val="99"/>
    <w:semiHidden/>
    <w:unhideWhenUsed/>
    <w:rsid w:val="00281F47"/>
    <w:rPr>
      <w:vertAlign w:val="superscript"/>
    </w:rPr>
  </w:style>
  <w:style w:type="character" w:customStyle="1" w:styleId="Titre1Car">
    <w:name w:val="Titre 1 Car"/>
    <w:basedOn w:val="Policepardfaut"/>
    <w:link w:val="Titre1"/>
    <w:uiPriority w:val="1"/>
    <w:rsid w:val="00B90396"/>
    <w:rPr>
      <w:rFonts w:ascii="Times New Roman" w:eastAsia="Times New Roman" w:hAnsi="Times New Roman" w:cs="Times New Roman"/>
      <w:b/>
      <w:bCs/>
      <w:sz w:val="24"/>
      <w:szCs w:val="24"/>
      <w:lang w:val="fr-FR" w:eastAsia="fr-FR" w:bidi="fr-FR"/>
    </w:rPr>
  </w:style>
  <w:style w:type="character" w:customStyle="1" w:styleId="Titre2Car">
    <w:name w:val="Titre 2 Car"/>
    <w:basedOn w:val="Policepardfaut"/>
    <w:link w:val="Titre2"/>
    <w:uiPriority w:val="1"/>
    <w:rsid w:val="00B90396"/>
    <w:rPr>
      <w:rFonts w:ascii="Times New Roman" w:eastAsia="Times New Roman" w:hAnsi="Times New Roman" w:cs="Times New Roman"/>
      <w:b/>
      <w:bCs/>
      <w:i/>
      <w:sz w:val="24"/>
      <w:szCs w:val="24"/>
      <w:lang w:val="fr-FR" w:eastAsia="fr-FR" w:bidi="fr-FR"/>
    </w:rPr>
  </w:style>
  <w:style w:type="paragraph" w:customStyle="1" w:styleId="Section">
    <w:name w:val="Section"/>
    <w:basedOn w:val="Normal"/>
    <w:next w:val="Normal"/>
    <w:rsid w:val="00147A48"/>
    <w:pPr>
      <w:widowControl/>
      <w:autoSpaceDE/>
      <w:autoSpaceDN/>
      <w:spacing w:before="360" w:after="120" w:line="360" w:lineRule="auto"/>
      <w:jc w:val="both"/>
      <w:outlineLvl w:val="0"/>
    </w:pPr>
    <w:rPr>
      <w:b/>
      <w:sz w:val="24"/>
      <w:szCs w:val="24"/>
      <w:u w:val="single"/>
      <w:lang w:bidi="ar-SA"/>
    </w:rPr>
  </w:style>
  <w:style w:type="character" w:customStyle="1" w:styleId="titre10">
    <w:name w:val="titre1"/>
    <w:basedOn w:val="Policepardfaut"/>
    <w:rsid w:val="0014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6173">
      <w:bodyDiv w:val="1"/>
      <w:marLeft w:val="0"/>
      <w:marRight w:val="0"/>
      <w:marTop w:val="0"/>
      <w:marBottom w:val="0"/>
      <w:divBdr>
        <w:top w:val="none" w:sz="0" w:space="0" w:color="auto"/>
        <w:left w:val="none" w:sz="0" w:space="0" w:color="auto"/>
        <w:bottom w:val="none" w:sz="0" w:space="0" w:color="auto"/>
        <w:right w:val="none" w:sz="0" w:space="0" w:color="auto"/>
      </w:divBdr>
    </w:div>
    <w:div w:id="1548567218">
      <w:bodyDiv w:val="1"/>
      <w:marLeft w:val="0"/>
      <w:marRight w:val="0"/>
      <w:marTop w:val="0"/>
      <w:marBottom w:val="0"/>
      <w:divBdr>
        <w:top w:val="none" w:sz="0" w:space="0" w:color="auto"/>
        <w:left w:val="none" w:sz="0" w:space="0" w:color="auto"/>
        <w:bottom w:val="none" w:sz="0" w:space="0" w:color="auto"/>
        <w:right w:val="none" w:sz="0" w:space="0" w:color="auto"/>
      </w:divBdr>
    </w:div>
    <w:div w:id="188390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A70C-B894-4BE9-80C8-AF389856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1399</Words>
  <Characters>7698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kinoukinou</dc:creator>
  <cp:lastModifiedBy>HERVE CHARMETTANT</cp:lastModifiedBy>
  <cp:revision>11</cp:revision>
  <dcterms:created xsi:type="dcterms:W3CDTF">2019-11-02T21:32:00Z</dcterms:created>
  <dcterms:modified xsi:type="dcterms:W3CDTF">2019-11-27T20:48:00Z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Word 2016</vt:lpwstr>
  </property>
  <property fmtid="{D5CDD505-2E9C-101B-9397-08002B2CF9AE}" pid="4" name="LastSaved">
    <vt:filetime>2019-11-02T00:00:00Z</vt:filetime>
  </property>
</Properties>
</file>