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349" w:rsidRDefault="00825349" w:rsidP="00825349">
      <w:pPr>
        <w:jc w:val="center"/>
        <w:rPr>
          <w:rFonts w:ascii="Times New Roman" w:eastAsia="Times New Roman" w:hAnsi="Times New Roman" w:cs="Times New Roman"/>
          <w:b/>
          <w:sz w:val="28"/>
          <w:szCs w:val="28"/>
          <w:lang w:bidi="ar-SA"/>
        </w:rPr>
      </w:pPr>
      <w:r>
        <w:rPr>
          <w:rFonts w:ascii="Times New Roman" w:eastAsia="Times New Roman" w:hAnsi="Times New Roman"/>
          <w:b/>
          <w:sz w:val="28"/>
          <w:szCs w:val="28"/>
        </w:rPr>
        <w:t xml:space="preserve">Les perspectives de l’économie sociale et solidaire française : </w:t>
      </w:r>
    </w:p>
    <w:p w:rsidR="00825349" w:rsidRDefault="00825349" w:rsidP="00825349">
      <w:pPr>
        <w:jc w:val="center"/>
        <w:rPr>
          <w:rFonts w:ascii="Times New Roman" w:eastAsia="Times New Roman" w:hAnsi="Times New Roman"/>
          <w:sz w:val="28"/>
          <w:szCs w:val="28"/>
        </w:rPr>
      </w:pPr>
      <w:r>
        <w:rPr>
          <w:rFonts w:ascii="Times New Roman" w:eastAsia="Times New Roman" w:hAnsi="Times New Roman"/>
          <w:b/>
          <w:sz w:val="28"/>
          <w:szCs w:val="28"/>
        </w:rPr>
        <w:t>L’avènement de la catégorie de firme sociale</w:t>
      </w:r>
    </w:p>
    <w:p w:rsidR="00825349" w:rsidRDefault="00825349" w:rsidP="00825349">
      <w:pPr>
        <w:suppressAutoHyphens/>
        <w:spacing w:line="276" w:lineRule="auto"/>
        <w:rPr>
          <w:rFonts w:ascii="Times New Roman" w:eastAsia="SimSun" w:hAnsi="Times New Roman"/>
          <w:b/>
          <w:kern w:val="2"/>
          <w:sz w:val="28"/>
          <w:szCs w:val="28"/>
          <w:lang w:eastAsia="ar-SA"/>
        </w:rPr>
      </w:pPr>
    </w:p>
    <w:p w:rsidR="00825349" w:rsidRDefault="00825349" w:rsidP="00825349">
      <w:pPr>
        <w:suppressAutoHyphens/>
        <w:spacing w:line="276" w:lineRule="auto"/>
        <w:rPr>
          <w:rFonts w:ascii="Times New Roman" w:eastAsia="SimSun" w:hAnsi="Times New Roman"/>
          <w:kern w:val="2"/>
          <w:sz w:val="24"/>
          <w:szCs w:val="24"/>
          <w:lang w:val="en-GB" w:eastAsia="ar-SA"/>
        </w:rPr>
      </w:pPr>
      <w:r>
        <w:rPr>
          <w:rFonts w:ascii="Times New Roman" w:eastAsia="SimSun" w:hAnsi="Times New Roman"/>
          <w:b/>
          <w:kern w:val="2"/>
          <w:sz w:val="24"/>
          <w:szCs w:val="24"/>
          <w:lang w:val="en-GB" w:eastAsia="ar-SA"/>
        </w:rPr>
        <w:t xml:space="preserve">Patrick </w:t>
      </w:r>
      <w:proofErr w:type="spellStart"/>
      <w:r>
        <w:rPr>
          <w:rFonts w:ascii="Times New Roman" w:eastAsia="SimSun" w:hAnsi="Times New Roman"/>
          <w:b/>
          <w:kern w:val="2"/>
          <w:sz w:val="24"/>
          <w:szCs w:val="24"/>
          <w:lang w:val="en-GB" w:eastAsia="ar-SA"/>
        </w:rPr>
        <w:t>Gianfaldoni</w:t>
      </w:r>
      <w:proofErr w:type="spellEnd"/>
      <w:r>
        <w:rPr>
          <w:rFonts w:ascii="Times New Roman" w:eastAsia="SimSun" w:hAnsi="Times New Roman"/>
          <w:b/>
          <w:kern w:val="2"/>
          <w:sz w:val="24"/>
          <w:szCs w:val="24"/>
          <w:lang w:val="en-GB" w:eastAsia="ar-SA"/>
        </w:rPr>
        <w:t xml:space="preserve">                  </w:t>
      </w:r>
    </w:p>
    <w:p w:rsidR="00825349" w:rsidRDefault="00825349" w:rsidP="00825349">
      <w:pPr>
        <w:suppressAutoHyphens/>
        <w:spacing w:line="276" w:lineRule="auto"/>
        <w:rPr>
          <w:rFonts w:ascii="Times New Roman" w:eastAsia="SimSun" w:hAnsi="Times New Roman"/>
          <w:kern w:val="2"/>
          <w:sz w:val="24"/>
          <w:szCs w:val="24"/>
          <w:lang w:val="es-AR" w:eastAsia="ar-SA"/>
        </w:rPr>
      </w:pPr>
      <w:hyperlink r:id="rId7" w:history="1">
        <w:r>
          <w:rPr>
            <w:rStyle w:val="Lienhypertexte"/>
            <w:rFonts w:ascii="Times New Roman" w:eastAsia="SimSun" w:hAnsi="Times New Roman"/>
            <w:kern w:val="2"/>
            <w:sz w:val="24"/>
            <w:szCs w:val="24"/>
            <w:lang w:val="en-GB" w:eastAsia="ar-SA"/>
          </w:rPr>
          <w:t>patrick.gianfaldoni@univ-avignon.fr</w:t>
        </w:r>
      </w:hyperlink>
      <w:r>
        <w:rPr>
          <w:rFonts w:ascii="Times New Roman" w:eastAsia="SimSun" w:hAnsi="Times New Roman"/>
          <w:kern w:val="2"/>
          <w:sz w:val="24"/>
          <w:szCs w:val="24"/>
          <w:lang w:val="es-AR" w:eastAsia="ar-SA"/>
        </w:rPr>
        <w:t xml:space="preserve"> </w:t>
      </w:r>
    </w:p>
    <w:p w:rsidR="00825349" w:rsidRDefault="00825349" w:rsidP="00825349">
      <w:pPr>
        <w:suppressAutoHyphens/>
        <w:spacing w:line="276" w:lineRule="auto"/>
        <w:rPr>
          <w:rFonts w:ascii="Times New Roman" w:eastAsia="SimSun" w:hAnsi="Times New Roman"/>
          <w:kern w:val="2"/>
          <w:sz w:val="24"/>
          <w:szCs w:val="24"/>
          <w:lang w:val="es-AR" w:eastAsia="ar-SA"/>
        </w:rPr>
      </w:pPr>
      <w:proofErr w:type="spellStart"/>
      <w:r>
        <w:rPr>
          <w:rFonts w:ascii="Times New Roman" w:eastAsia="SimSun" w:hAnsi="Times New Roman"/>
          <w:kern w:val="2"/>
          <w:sz w:val="24"/>
          <w:szCs w:val="24"/>
          <w:lang w:val="es-AR" w:eastAsia="ar-SA"/>
        </w:rPr>
        <w:t>Laboratoire</w:t>
      </w:r>
      <w:proofErr w:type="spellEnd"/>
      <w:r>
        <w:rPr>
          <w:rFonts w:ascii="Times New Roman" w:eastAsia="SimSun" w:hAnsi="Times New Roman"/>
          <w:kern w:val="2"/>
          <w:sz w:val="24"/>
          <w:szCs w:val="24"/>
          <w:lang w:val="es-AR" w:eastAsia="ar-SA"/>
        </w:rPr>
        <w:t xml:space="preserve"> </w:t>
      </w:r>
      <w:proofErr w:type="spellStart"/>
      <w:r>
        <w:rPr>
          <w:rFonts w:ascii="Times New Roman" w:eastAsia="SimSun" w:hAnsi="Times New Roman"/>
          <w:kern w:val="2"/>
          <w:sz w:val="24"/>
          <w:szCs w:val="24"/>
          <w:lang w:val="es-AR" w:eastAsia="ar-SA"/>
        </w:rPr>
        <w:t>Biens</w:t>
      </w:r>
      <w:proofErr w:type="spellEnd"/>
      <w:r>
        <w:rPr>
          <w:rFonts w:ascii="Times New Roman" w:eastAsia="SimSun" w:hAnsi="Times New Roman"/>
          <w:kern w:val="2"/>
          <w:sz w:val="24"/>
          <w:szCs w:val="24"/>
          <w:lang w:val="es-AR" w:eastAsia="ar-SA"/>
        </w:rPr>
        <w:t xml:space="preserve"> Normes et </w:t>
      </w:r>
      <w:proofErr w:type="spellStart"/>
      <w:r>
        <w:rPr>
          <w:rFonts w:ascii="Times New Roman" w:eastAsia="SimSun" w:hAnsi="Times New Roman"/>
          <w:kern w:val="2"/>
          <w:sz w:val="24"/>
          <w:szCs w:val="24"/>
          <w:lang w:val="es-AR" w:eastAsia="ar-SA"/>
        </w:rPr>
        <w:t>Contrats</w:t>
      </w:r>
      <w:proofErr w:type="spellEnd"/>
      <w:r>
        <w:rPr>
          <w:rFonts w:ascii="Times New Roman" w:eastAsia="SimSun" w:hAnsi="Times New Roman"/>
          <w:kern w:val="2"/>
          <w:sz w:val="24"/>
          <w:szCs w:val="24"/>
          <w:lang w:val="es-AR" w:eastAsia="ar-SA"/>
        </w:rPr>
        <w:t xml:space="preserve"> (LBNC)</w:t>
      </w:r>
    </w:p>
    <w:p w:rsidR="00825349" w:rsidRDefault="00825349" w:rsidP="00825349">
      <w:pPr>
        <w:suppressAutoHyphens/>
        <w:spacing w:line="276" w:lineRule="auto"/>
        <w:rPr>
          <w:rFonts w:ascii="Times New Roman" w:eastAsia="SimSun" w:hAnsi="Times New Roman"/>
          <w:kern w:val="2"/>
          <w:sz w:val="24"/>
          <w:szCs w:val="24"/>
          <w:lang w:val="es-AR" w:eastAsia="ar-SA"/>
        </w:rPr>
      </w:pPr>
      <w:r>
        <w:rPr>
          <w:rFonts w:ascii="Times New Roman" w:eastAsia="SimSun" w:hAnsi="Times New Roman"/>
          <w:kern w:val="2"/>
          <w:sz w:val="24"/>
          <w:szCs w:val="24"/>
          <w:lang w:val="es-AR" w:eastAsia="ar-SA"/>
        </w:rPr>
        <w:t xml:space="preserve">UFR </w:t>
      </w:r>
      <w:proofErr w:type="spellStart"/>
      <w:r>
        <w:rPr>
          <w:rFonts w:ascii="Times New Roman" w:eastAsia="SimSun" w:hAnsi="Times New Roman"/>
          <w:kern w:val="2"/>
          <w:sz w:val="24"/>
          <w:szCs w:val="24"/>
          <w:lang w:val="es-AR" w:eastAsia="ar-SA"/>
        </w:rPr>
        <w:t>Droit</w:t>
      </w:r>
      <w:proofErr w:type="spellEnd"/>
      <w:r>
        <w:rPr>
          <w:rFonts w:ascii="Times New Roman" w:eastAsia="SimSun" w:hAnsi="Times New Roman"/>
          <w:kern w:val="2"/>
          <w:sz w:val="24"/>
          <w:szCs w:val="24"/>
          <w:lang w:val="es-AR" w:eastAsia="ar-SA"/>
        </w:rPr>
        <w:t xml:space="preserve"> </w:t>
      </w:r>
      <w:proofErr w:type="spellStart"/>
      <w:r>
        <w:rPr>
          <w:rFonts w:ascii="Times New Roman" w:eastAsia="SimSun" w:hAnsi="Times New Roman"/>
          <w:kern w:val="2"/>
          <w:sz w:val="24"/>
          <w:szCs w:val="24"/>
          <w:lang w:val="es-AR" w:eastAsia="ar-SA"/>
        </w:rPr>
        <w:t>Économie</w:t>
      </w:r>
      <w:proofErr w:type="spellEnd"/>
      <w:r>
        <w:rPr>
          <w:rFonts w:ascii="Times New Roman" w:eastAsia="SimSun" w:hAnsi="Times New Roman"/>
          <w:kern w:val="2"/>
          <w:sz w:val="24"/>
          <w:szCs w:val="24"/>
          <w:lang w:val="es-AR" w:eastAsia="ar-SA"/>
        </w:rPr>
        <w:t xml:space="preserve"> </w:t>
      </w:r>
      <w:proofErr w:type="spellStart"/>
      <w:r>
        <w:rPr>
          <w:rFonts w:ascii="Times New Roman" w:eastAsia="SimSun" w:hAnsi="Times New Roman"/>
          <w:kern w:val="2"/>
          <w:sz w:val="24"/>
          <w:szCs w:val="24"/>
          <w:lang w:val="es-AR" w:eastAsia="ar-SA"/>
        </w:rPr>
        <w:t>Gestion</w:t>
      </w:r>
      <w:proofErr w:type="spellEnd"/>
      <w:r>
        <w:rPr>
          <w:rFonts w:ascii="Times New Roman" w:eastAsia="SimSun" w:hAnsi="Times New Roman"/>
          <w:kern w:val="2"/>
          <w:sz w:val="24"/>
          <w:szCs w:val="24"/>
          <w:lang w:val="es-AR" w:eastAsia="ar-SA"/>
        </w:rPr>
        <w:t xml:space="preserve"> – </w:t>
      </w:r>
      <w:proofErr w:type="spellStart"/>
      <w:r>
        <w:rPr>
          <w:rFonts w:ascii="Times New Roman" w:eastAsia="SimSun" w:hAnsi="Times New Roman"/>
          <w:kern w:val="2"/>
          <w:sz w:val="24"/>
          <w:szCs w:val="24"/>
          <w:lang w:val="es-AR" w:eastAsia="ar-SA"/>
        </w:rPr>
        <w:t>Avignon</w:t>
      </w:r>
      <w:proofErr w:type="spellEnd"/>
      <w:r>
        <w:rPr>
          <w:rFonts w:ascii="Times New Roman" w:eastAsia="SimSun" w:hAnsi="Times New Roman"/>
          <w:kern w:val="2"/>
          <w:sz w:val="24"/>
          <w:szCs w:val="24"/>
          <w:lang w:val="es-AR" w:eastAsia="ar-SA"/>
        </w:rPr>
        <w:t xml:space="preserve"> </w:t>
      </w:r>
      <w:proofErr w:type="spellStart"/>
      <w:r>
        <w:rPr>
          <w:rFonts w:ascii="Times New Roman" w:eastAsia="SimSun" w:hAnsi="Times New Roman"/>
          <w:kern w:val="2"/>
          <w:sz w:val="24"/>
          <w:szCs w:val="24"/>
          <w:lang w:val="es-AR" w:eastAsia="ar-SA"/>
        </w:rPr>
        <w:t>Université</w:t>
      </w:r>
      <w:proofErr w:type="spellEnd"/>
    </w:p>
    <w:p w:rsidR="00825349" w:rsidRDefault="00825349" w:rsidP="00825349">
      <w:pPr>
        <w:suppressAutoHyphens/>
        <w:spacing w:line="276" w:lineRule="auto"/>
        <w:rPr>
          <w:rFonts w:ascii="Times New Roman" w:eastAsia="SimSun" w:hAnsi="Times New Roman"/>
          <w:kern w:val="2"/>
          <w:sz w:val="24"/>
          <w:szCs w:val="24"/>
          <w:lang w:eastAsia="ar-SA"/>
        </w:rPr>
      </w:pPr>
      <w:r>
        <w:rPr>
          <w:rFonts w:ascii="Times New Roman" w:eastAsia="SimSun" w:hAnsi="Times New Roman"/>
          <w:kern w:val="2"/>
          <w:sz w:val="24"/>
          <w:szCs w:val="24"/>
          <w:lang w:val="es-AR" w:eastAsia="ar-SA"/>
        </w:rPr>
        <w:t xml:space="preserve">74 rue Louis Pasteur, 84029, </w:t>
      </w:r>
      <w:proofErr w:type="spellStart"/>
      <w:r>
        <w:rPr>
          <w:rFonts w:ascii="Times New Roman" w:eastAsia="SimSun" w:hAnsi="Times New Roman"/>
          <w:kern w:val="2"/>
          <w:sz w:val="24"/>
          <w:szCs w:val="24"/>
          <w:lang w:val="es-AR" w:eastAsia="ar-SA"/>
        </w:rPr>
        <w:t>Avignon</w:t>
      </w:r>
      <w:proofErr w:type="spellEnd"/>
      <w:r>
        <w:rPr>
          <w:rFonts w:ascii="Times New Roman" w:eastAsia="SimSun" w:hAnsi="Times New Roman"/>
          <w:kern w:val="2"/>
          <w:sz w:val="24"/>
          <w:szCs w:val="24"/>
          <w:lang w:val="es-AR" w:eastAsia="ar-SA"/>
        </w:rPr>
        <w:t xml:space="preserve"> </w:t>
      </w:r>
      <w:proofErr w:type="spellStart"/>
      <w:r>
        <w:rPr>
          <w:rFonts w:ascii="Times New Roman" w:eastAsia="SimSun" w:hAnsi="Times New Roman"/>
          <w:kern w:val="2"/>
          <w:sz w:val="24"/>
          <w:szCs w:val="24"/>
          <w:lang w:val="es-AR" w:eastAsia="ar-SA"/>
        </w:rPr>
        <w:t>Cedex</w:t>
      </w:r>
      <w:proofErr w:type="spellEnd"/>
      <w:r>
        <w:rPr>
          <w:rFonts w:ascii="Times New Roman" w:eastAsia="SimSun" w:hAnsi="Times New Roman"/>
          <w:kern w:val="2"/>
          <w:sz w:val="24"/>
          <w:szCs w:val="24"/>
          <w:lang w:val="es-AR" w:eastAsia="ar-SA"/>
        </w:rPr>
        <w:t xml:space="preserve"> 1, France.</w:t>
      </w:r>
    </w:p>
    <w:p w:rsidR="00825349" w:rsidRDefault="00825349" w:rsidP="00825349">
      <w:pPr>
        <w:jc w:val="both"/>
        <w:rPr>
          <w:rFonts w:ascii="Times New Roman" w:eastAsia="Times New Roman" w:hAnsi="Times New Roman"/>
          <w:sz w:val="24"/>
          <w:szCs w:val="24"/>
        </w:rPr>
      </w:pPr>
    </w:p>
    <w:p w:rsidR="00825349" w:rsidRDefault="00825349" w:rsidP="00825349">
      <w:pPr>
        <w:jc w:val="both"/>
        <w:rPr>
          <w:rFonts w:ascii="Times New Roman" w:eastAsia="Times New Roman" w:hAnsi="Times New Roman"/>
          <w:sz w:val="24"/>
          <w:szCs w:val="24"/>
        </w:rPr>
      </w:pPr>
      <w:r>
        <w:rPr>
          <w:rFonts w:ascii="Times New Roman" w:eastAsia="Times New Roman" w:hAnsi="Times New Roman"/>
          <w:sz w:val="24"/>
          <w:szCs w:val="24"/>
        </w:rPr>
        <w:t xml:space="preserve">En France, </w:t>
      </w:r>
      <w:r>
        <w:rPr>
          <w:rFonts w:ascii="Times New Roman" w:eastAsia="Times New Roman" w:hAnsi="Times New Roman"/>
          <w:kern w:val="2"/>
          <w:sz w:val="24"/>
          <w:szCs w:val="24"/>
          <w:lang w:eastAsia="zh-CN"/>
        </w:rPr>
        <w:t xml:space="preserve">l’économie sociale et solidaire (ESS) possède une épaisseur historique. Les visées émancipatrices et démocratiques des mouvements </w:t>
      </w:r>
      <w:proofErr w:type="spellStart"/>
      <w:r>
        <w:rPr>
          <w:rFonts w:ascii="Times New Roman" w:eastAsia="Times New Roman" w:hAnsi="Times New Roman"/>
          <w:kern w:val="2"/>
          <w:sz w:val="24"/>
          <w:szCs w:val="24"/>
          <w:lang w:eastAsia="zh-CN"/>
        </w:rPr>
        <w:t>coopérativiste</w:t>
      </w:r>
      <w:proofErr w:type="spellEnd"/>
      <w:r>
        <w:rPr>
          <w:rFonts w:ascii="Times New Roman" w:eastAsia="Times New Roman" w:hAnsi="Times New Roman"/>
          <w:kern w:val="2"/>
          <w:sz w:val="24"/>
          <w:szCs w:val="24"/>
          <w:lang w:eastAsia="zh-CN"/>
        </w:rPr>
        <w:t xml:space="preserve">, mutuelliste et associationniste, ainsi que les liens progressifs d’interdépendance noués avec la puissance publique et l’Etat social, démarquent significativement l’ensemble disparate que ces mouvements constituent des fondements de l’économie marchande-capitaliste. </w:t>
      </w:r>
      <w:r>
        <w:rPr>
          <w:rFonts w:ascii="Times New Roman" w:eastAsia="Times New Roman" w:hAnsi="Times New Roman"/>
          <w:sz w:val="24"/>
          <w:szCs w:val="24"/>
        </w:rPr>
        <w:t>L’économie sociale et solidaire (ESS) s’est structurée en consolidant tout au long du XX</w:t>
      </w:r>
      <w:r>
        <w:rPr>
          <w:rFonts w:ascii="Times New Roman" w:eastAsia="Times New Roman" w:hAnsi="Times New Roman"/>
          <w:sz w:val="24"/>
          <w:szCs w:val="24"/>
          <w:vertAlign w:val="superscript"/>
        </w:rPr>
        <w:t>ème</w:t>
      </w:r>
      <w:r>
        <w:rPr>
          <w:rFonts w:ascii="Times New Roman" w:eastAsia="Times New Roman" w:hAnsi="Times New Roman"/>
          <w:sz w:val="24"/>
          <w:szCs w:val="24"/>
        </w:rPr>
        <w:t xml:space="preserve"> siècle une économie sociale historique (ESH), composée de coopératives, d’associations et de mutuelles. Au fil des années 1970’ et 2000’, une nouvelle économie sociale (NES) se développe, promouvant des associations et des coopératives innovantes tout en renouant avec le projet politique originel. </w:t>
      </w:r>
      <w:r>
        <w:rPr>
          <w:rFonts w:ascii="Times New Roman" w:eastAsia="Times New Roman" w:hAnsi="Times New Roman"/>
          <w:smallCaps/>
          <w:sz w:val="24"/>
          <w:szCs w:val="24"/>
        </w:rPr>
        <w:t>L</w:t>
      </w:r>
      <w:r>
        <w:rPr>
          <w:rFonts w:ascii="Times New Roman" w:eastAsia="Times New Roman" w:hAnsi="Times New Roman"/>
          <w:sz w:val="24"/>
          <w:szCs w:val="24"/>
        </w:rPr>
        <w:t>a NES s’est constituée suivant deux voies parallèles (</w:t>
      </w:r>
      <w:proofErr w:type="spellStart"/>
      <w:r>
        <w:rPr>
          <w:rFonts w:ascii="Times New Roman" w:hAnsi="Times New Roman"/>
          <w:sz w:val="24"/>
          <w:szCs w:val="24"/>
        </w:rPr>
        <w:t>Draperi</w:t>
      </w:r>
      <w:proofErr w:type="spellEnd"/>
      <w:r>
        <w:rPr>
          <w:rFonts w:ascii="Times New Roman" w:hAnsi="Times New Roman"/>
          <w:sz w:val="24"/>
          <w:szCs w:val="24"/>
        </w:rPr>
        <w:t>, 2003)</w:t>
      </w:r>
      <w:r>
        <w:rPr>
          <w:rFonts w:ascii="Times New Roman" w:eastAsia="Times New Roman" w:hAnsi="Times New Roman"/>
          <w:sz w:val="24"/>
          <w:szCs w:val="24"/>
        </w:rPr>
        <w:t> : d’une part, de nouvelles formes associatives œuvrant dans de nouveaux champs d’activité, autogérées ou bénéficiant de financements publics octroyés en contreparties de prestation de service répondant aux besoins d’intérêt général dans l’espace local </w:t>
      </w:r>
      <w:r>
        <w:rPr>
          <w:rFonts w:ascii="Times New Roman" w:eastAsia="Times New Roman" w:hAnsi="Times New Roman"/>
          <w:iCs/>
          <w:sz w:val="24"/>
          <w:szCs w:val="24"/>
        </w:rPr>
        <w:t>; d’autre</w:t>
      </w:r>
      <w:r>
        <w:rPr>
          <w:rFonts w:ascii="Times New Roman" w:eastAsia="Times New Roman" w:hAnsi="Times New Roman"/>
          <w:sz w:val="24"/>
          <w:szCs w:val="24"/>
        </w:rPr>
        <w:t xml:space="preserve"> part, l’expérimentation de formes coopératives alternatives répondant à de nouveaux besoins ou élargissant-renouvelant l’offre de services proposés</w:t>
      </w:r>
      <w:r>
        <w:rPr>
          <w:rFonts w:ascii="Times New Roman" w:eastAsia="Times New Roman" w:hAnsi="Times New Roman"/>
          <w:iCs/>
          <w:sz w:val="24"/>
          <w:szCs w:val="24"/>
        </w:rPr>
        <w:t>.</w:t>
      </w:r>
      <w:r>
        <w:rPr>
          <w:rFonts w:ascii="Times New Roman" w:eastAsia="Times New Roman" w:hAnsi="Times New Roman"/>
          <w:sz w:val="24"/>
          <w:szCs w:val="24"/>
        </w:rPr>
        <w:t xml:space="preserve"> </w:t>
      </w:r>
    </w:p>
    <w:p w:rsidR="00825349" w:rsidRDefault="00825349" w:rsidP="00825349">
      <w:pPr>
        <w:suppressAutoHyphens/>
        <w:jc w:val="both"/>
        <w:rPr>
          <w:rFonts w:ascii="Times New Roman" w:eastAsia="Calibri" w:hAnsi="Times New Roman"/>
          <w:sz w:val="24"/>
          <w:szCs w:val="24"/>
          <w:lang w:eastAsia="en-US"/>
        </w:rPr>
      </w:pPr>
    </w:p>
    <w:p w:rsidR="00825349" w:rsidRDefault="00825349" w:rsidP="00825349">
      <w:pPr>
        <w:jc w:val="both"/>
        <w:rPr>
          <w:rFonts w:ascii="Times New Roman" w:eastAsia="Times New Roman" w:hAnsi="Times New Roman"/>
          <w:color w:val="FF0000"/>
          <w:kern w:val="2"/>
          <w:sz w:val="24"/>
          <w:szCs w:val="24"/>
          <w:lang w:eastAsia="zh-CN"/>
        </w:rPr>
      </w:pPr>
      <w:r>
        <w:rPr>
          <w:rFonts w:ascii="Times New Roman" w:eastAsia="Times New Roman" w:hAnsi="Times New Roman"/>
          <w:kern w:val="2"/>
          <w:sz w:val="24"/>
          <w:szCs w:val="24"/>
          <w:lang w:eastAsia="zh-CN"/>
        </w:rPr>
        <w:t xml:space="preserve">Cette évolution en plusieurs phases, étalée sur une très longue période, explique sans nul doute la grande diversité juridique, économique et sociale de l’ESS (Prades, 2001), dont le caractère hétéroclite peut prêter le flanc à la critique (Latouche, 2003). Marquée par des processus de dépolitisation des mouvements </w:t>
      </w:r>
      <w:proofErr w:type="spellStart"/>
      <w:r>
        <w:rPr>
          <w:rFonts w:ascii="Times New Roman" w:eastAsia="Times New Roman" w:hAnsi="Times New Roman"/>
          <w:kern w:val="2"/>
          <w:sz w:val="24"/>
          <w:szCs w:val="24"/>
          <w:lang w:eastAsia="zh-CN"/>
        </w:rPr>
        <w:t>coopérativiste</w:t>
      </w:r>
      <w:proofErr w:type="spellEnd"/>
      <w:r>
        <w:rPr>
          <w:rFonts w:ascii="Times New Roman" w:eastAsia="Times New Roman" w:hAnsi="Times New Roman"/>
          <w:kern w:val="2"/>
          <w:sz w:val="24"/>
          <w:szCs w:val="24"/>
          <w:lang w:eastAsia="zh-CN"/>
        </w:rPr>
        <w:t xml:space="preserve"> et mutuelliste, la période 1960-1990 s’est traduite aussi par la croissance économico-financière de leurs entreprises et, parallèlement, par la structuration fédérative des secteurs les plus dynamiques de la « famille » associative. Ces vingt dernières années, le phénomène de « course à la taille » s’est amplifié, assorti de tendances affirmées à la marchandisation, professionnalisation, </w:t>
      </w:r>
      <w:proofErr w:type="spellStart"/>
      <w:r>
        <w:rPr>
          <w:rFonts w:ascii="Times New Roman" w:eastAsia="Times New Roman" w:hAnsi="Times New Roman"/>
          <w:kern w:val="2"/>
          <w:sz w:val="24"/>
          <w:szCs w:val="24"/>
          <w:lang w:eastAsia="zh-CN"/>
        </w:rPr>
        <w:t>managerialisation</w:t>
      </w:r>
      <w:proofErr w:type="spellEnd"/>
      <w:r>
        <w:rPr>
          <w:rFonts w:ascii="Times New Roman" w:eastAsia="Times New Roman" w:hAnsi="Times New Roman"/>
          <w:kern w:val="2"/>
          <w:sz w:val="24"/>
          <w:szCs w:val="24"/>
          <w:lang w:eastAsia="zh-CN"/>
        </w:rPr>
        <w:t xml:space="preserve"> des activités. Les coopératives ont été considérées très tôt comme des entreprises, de par leur statut, leur environnement sectoriel, leur mode de fonctionnement et leurs stratégies afférentes, les mutuelles opérant leur mutation plus récemment. Les associations n’ont revêtu que marginalement jusqu’à ces dernières années le profil économique « d’entreprise associative » </w:t>
      </w:r>
      <w:r>
        <w:rPr>
          <w:rFonts w:ascii="Times New Roman" w:hAnsi="Times New Roman"/>
          <w:sz w:val="24"/>
          <w:szCs w:val="24"/>
        </w:rPr>
        <w:t>(Marchal, 1992)</w:t>
      </w:r>
      <w:r>
        <w:rPr>
          <w:rFonts w:ascii="Times New Roman" w:eastAsia="Times New Roman" w:hAnsi="Times New Roman"/>
          <w:kern w:val="2"/>
          <w:sz w:val="24"/>
          <w:szCs w:val="24"/>
          <w:lang w:eastAsia="zh-CN"/>
        </w:rPr>
        <w:t xml:space="preserve">. </w:t>
      </w:r>
      <w:r>
        <w:rPr>
          <w:rFonts w:ascii="Times New Roman" w:hAnsi="Times New Roman"/>
          <w:sz w:val="24"/>
          <w:szCs w:val="24"/>
        </w:rPr>
        <w:t>Le terme d’OESS – organisations de l’ESS – ayant été largement usité par le passé, i</w:t>
      </w:r>
      <w:r>
        <w:rPr>
          <w:rFonts w:ascii="Times New Roman" w:eastAsia="Times New Roman" w:hAnsi="Times New Roman"/>
          <w:kern w:val="2"/>
          <w:sz w:val="24"/>
          <w:szCs w:val="24"/>
          <w:lang w:eastAsia="zh-CN"/>
        </w:rPr>
        <w:t xml:space="preserve">l faut attendre les années 2000 pour observer le rapprochement progressif </w:t>
      </w:r>
      <w:r>
        <w:rPr>
          <w:rFonts w:ascii="Times New Roman" w:hAnsi="Times New Roman"/>
          <w:sz w:val="24"/>
          <w:szCs w:val="24"/>
        </w:rPr>
        <w:t xml:space="preserve">des « structures » ou « organisations » associatives employeurs du fonctionnement en entreprise sociale. </w:t>
      </w:r>
    </w:p>
    <w:p w:rsidR="00825349" w:rsidRDefault="00825349" w:rsidP="00825349">
      <w:pPr>
        <w:jc w:val="both"/>
        <w:rPr>
          <w:rFonts w:ascii="Times New Roman" w:eastAsia="Times New Roman" w:hAnsi="Times New Roman"/>
          <w:color w:val="FF0000"/>
          <w:kern w:val="2"/>
          <w:sz w:val="24"/>
          <w:szCs w:val="24"/>
          <w:lang w:eastAsia="zh-CN"/>
        </w:rPr>
      </w:pPr>
    </w:p>
    <w:p w:rsidR="00825349" w:rsidRDefault="00825349" w:rsidP="00825349">
      <w:pPr>
        <w:jc w:val="both"/>
        <w:rPr>
          <w:rFonts w:ascii="Times New Roman" w:eastAsia="Calibri" w:hAnsi="Times New Roman"/>
          <w:sz w:val="24"/>
          <w:szCs w:val="24"/>
          <w:lang w:eastAsia="en-US"/>
        </w:rPr>
      </w:pPr>
      <w:r>
        <w:rPr>
          <w:rFonts w:ascii="Times New Roman" w:hAnsi="Times New Roman"/>
          <w:sz w:val="24"/>
          <w:szCs w:val="24"/>
        </w:rPr>
        <w:t xml:space="preserve">L’effacement du socle politique sur lequel reposaient les valeurs de l’ESS devant l’omniscience supposée d’une pensée gestionnaire semble venir consacrer les processus de banalisation-homogénéisation touchant les associations employeurs et s’accompagnant de l’altération progressive de leurs quatre principes clés (non </w:t>
      </w:r>
      <w:proofErr w:type="spellStart"/>
      <w:r>
        <w:rPr>
          <w:rFonts w:ascii="Times New Roman" w:hAnsi="Times New Roman"/>
          <w:sz w:val="24"/>
          <w:szCs w:val="24"/>
        </w:rPr>
        <w:t>lucrativité</w:t>
      </w:r>
      <w:proofErr w:type="spellEnd"/>
      <w:r>
        <w:rPr>
          <w:rFonts w:ascii="Times New Roman" w:hAnsi="Times New Roman"/>
          <w:sz w:val="24"/>
          <w:szCs w:val="24"/>
        </w:rPr>
        <w:t xml:space="preserve">, libre adhésion, double qualité, gestion démocratique). Dans ce cadre déstabilisé de l’ESS, les grilles de lecture découlant des notions d’isomorphisme institutionnel et d’hybridation de ressources nous semblent a priori appropriées pour aborder les mises en tension des structures associatives. Toutefois, les conceptualisations proposées entre autres par </w:t>
      </w:r>
      <w:proofErr w:type="spellStart"/>
      <w:r>
        <w:rPr>
          <w:rFonts w:ascii="Times New Roman" w:hAnsi="Times New Roman"/>
          <w:sz w:val="24"/>
          <w:szCs w:val="24"/>
        </w:rPr>
        <w:t>Enjolras</w:t>
      </w:r>
      <w:proofErr w:type="spellEnd"/>
      <w:r>
        <w:rPr>
          <w:rFonts w:ascii="Times New Roman" w:hAnsi="Times New Roman"/>
          <w:sz w:val="24"/>
          <w:szCs w:val="24"/>
        </w:rPr>
        <w:t xml:space="preserve"> (1996) ou Bidet (2003) doivent être repensées afin de mieux comprendre les processus ambigus de transformation de l’association employeur en entreprise sociale. Aux vues de la refonte des modes de régulation publique, de l’intrusion de logiques marchandes d’un nouveau genre et d’une normalisation substantielle par le haut, il convient plutôt de s’intéresser à ce que nous qualifions d’isomorphisme néolibéral et de se centrer sur le caractère intrinsèquement hybride de la firme sociale. </w:t>
      </w:r>
    </w:p>
    <w:p w:rsidR="00825349" w:rsidRDefault="00825349" w:rsidP="00825349">
      <w:pPr>
        <w:jc w:val="both"/>
        <w:rPr>
          <w:rFonts w:ascii="Times New Roman" w:hAnsi="Times New Roman"/>
          <w:sz w:val="24"/>
          <w:szCs w:val="24"/>
        </w:rPr>
      </w:pPr>
    </w:p>
    <w:p w:rsidR="00825349" w:rsidRDefault="00825349" w:rsidP="00825349">
      <w:pPr>
        <w:jc w:val="both"/>
        <w:rPr>
          <w:rFonts w:ascii="Times New Roman" w:hAnsi="Times New Roman"/>
          <w:sz w:val="24"/>
          <w:szCs w:val="24"/>
        </w:rPr>
      </w:pPr>
      <w:r>
        <w:rPr>
          <w:rFonts w:ascii="Times New Roman" w:hAnsi="Times New Roman"/>
          <w:sz w:val="24"/>
          <w:szCs w:val="24"/>
        </w:rPr>
        <w:t>Aussi, voulons-nous montrer en premier lieu que l’avènement de la catégorie de firme sociale résulte d’un mouvement rattaché au néolibéralisme. Suivant le cadre problématique hérité de Polanyi (2017, première édition : 1944, chapitre 6), l’extension d</w:t>
      </w:r>
      <w:proofErr w:type="gramStart"/>
      <w:r>
        <w:rPr>
          <w:rFonts w:ascii="Times New Roman" w:hAnsi="Times New Roman"/>
          <w:sz w:val="24"/>
          <w:szCs w:val="24"/>
        </w:rPr>
        <w:t>’«</w:t>
      </w:r>
      <w:proofErr w:type="gramEnd"/>
      <w:r>
        <w:rPr>
          <w:rFonts w:ascii="Times New Roman" w:hAnsi="Times New Roman"/>
          <w:sz w:val="24"/>
          <w:szCs w:val="24"/>
        </w:rPr>
        <w:t xml:space="preserve"> un système économique commandé, régulé et orienté par les seuls marchés » et dont l’ensemble des facteurs économiques sont produits et alloués au travers de mécanismes marchands, constitue un premier mouvement historique de croissance économique et d’accumulation du capital appuyé et impulsé par l’Etat. Un contremouvement de protection propre à l’Etat administratif et à l’Etat social (institutions et forme d’action publique, normes légales, réglementations et procédures) tend à enrayer le premier mouvement, en créant les conditions d’encadrement-limitation des marchés sous la pression des résistances de la société. </w:t>
      </w:r>
      <w:proofErr w:type="spellStart"/>
      <w:r>
        <w:rPr>
          <w:rFonts w:ascii="Times New Roman" w:hAnsi="Times New Roman"/>
          <w:sz w:val="24"/>
          <w:szCs w:val="24"/>
        </w:rPr>
        <w:t>Dardot</w:t>
      </w:r>
      <w:proofErr w:type="spellEnd"/>
      <w:r>
        <w:rPr>
          <w:rFonts w:ascii="Times New Roman" w:hAnsi="Times New Roman"/>
          <w:sz w:val="24"/>
          <w:szCs w:val="24"/>
        </w:rPr>
        <w:t xml:space="preserve"> et Laval (2010) énonce un troisième mouvement, au travers duquel les interventions de l’Etat ne relèvent pas « </w:t>
      </w:r>
      <w:r>
        <w:rPr>
          <w:rFonts w:ascii="Times New Roman" w:eastAsia="Times New Roman" w:hAnsi="Times New Roman"/>
          <w:sz w:val="24"/>
          <w:szCs w:val="24"/>
        </w:rPr>
        <w:t>de principes hétéronomes à la marchandisation » et n’obéissent pas à des principes de solidarité. Le « libéralisme constructeur » suit un programme visant à étendre la mise en marché de secteurs entiers de la protection et de la vie sociale » à travers « certaines politiques publiques ou certaines dépenses sociales ». La « </w:t>
      </w:r>
      <w:proofErr w:type="spellStart"/>
      <w:r>
        <w:rPr>
          <w:rFonts w:ascii="Times New Roman" w:eastAsia="Times New Roman" w:hAnsi="Times New Roman"/>
          <w:sz w:val="24"/>
          <w:szCs w:val="24"/>
        </w:rPr>
        <w:t>gouvernementalité</w:t>
      </w:r>
      <w:proofErr w:type="spellEnd"/>
      <w:r>
        <w:rPr>
          <w:rFonts w:ascii="Times New Roman" w:eastAsia="Times New Roman" w:hAnsi="Times New Roman"/>
          <w:sz w:val="24"/>
          <w:szCs w:val="24"/>
        </w:rPr>
        <w:t> » néolibérale fixe le cadre légal concurrentiel des secteurs à vocation sociale, les régule par des dispositifs adaptés, soutient la solvabilité des marchés en les pourvoyant financièrement, mais promeut aussi « l’</w:t>
      </w:r>
      <w:proofErr w:type="spellStart"/>
      <w:r>
        <w:rPr>
          <w:rFonts w:ascii="Times New Roman" w:eastAsia="Times New Roman" w:hAnsi="Times New Roman"/>
          <w:sz w:val="24"/>
          <w:szCs w:val="24"/>
        </w:rPr>
        <w:t>entrepreneurialité</w:t>
      </w:r>
      <w:proofErr w:type="spellEnd"/>
      <w:r>
        <w:rPr>
          <w:rFonts w:ascii="Times New Roman" w:eastAsia="Times New Roman" w:hAnsi="Times New Roman"/>
          <w:sz w:val="24"/>
          <w:szCs w:val="24"/>
        </w:rPr>
        <w:t> » et « l’</w:t>
      </w:r>
      <w:proofErr w:type="spellStart"/>
      <w:r>
        <w:rPr>
          <w:rFonts w:ascii="Times New Roman" w:eastAsia="Times New Roman" w:hAnsi="Times New Roman"/>
          <w:sz w:val="24"/>
          <w:szCs w:val="24"/>
        </w:rPr>
        <w:t>innovativité</w:t>
      </w:r>
      <w:proofErr w:type="spellEnd"/>
      <w:r>
        <w:rPr>
          <w:rFonts w:ascii="Times New Roman" w:eastAsia="Times New Roman" w:hAnsi="Times New Roman"/>
          <w:sz w:val="24"/>
          <w:szCs w:val="24"/>
        </w:rPr>
        <w:t xml:space="preserve"> » des associations employeurs. </w:t>
      </w:r>
    </w:p>
    <w:p w:rsidR="00825349" w:rsidRDefault="00825349" w:rsidP="00825349">
      <w:pPr>
        <w:jc w:val="both"/>
        <w:rPr>
          <w:rFonts w:ascii="Times New Roman" w:hAnsi="Times New Roman"/>
          <w:sz w:val="24"/>
          <w:szCs w:val="24"/>
        </w:rPr>
      </w:pPr>
    </w:p>
    <w:p w:rsidR="00825349" w:rsidRDefault="00825349" w:rsidP="00825349">
      <w:pPr>
        <w:jc w:val="both"/>
        <w:rPr>
          <w:rFonts w:ascii="Times New Roman" w:eastAsia="Times New Roman" w:hAnsi="Times New Roman"/>
          <w:sz w:val="24"/>
          <w:szCs w:val="24"/>
        </w:rPr>
      </w:pPr>
      <w:r>
        <w:rPr>
          <w:rFonts w:ascii="Times New Roman" w:hAnsi="Times New Roman"/>
          <w:sz w:val="24"/>
          <w:szCs w:val="24"/>
        </w:rPr>
        <w:t xml:space="preserve">En second lieu, il convient d’aborder la transmutation de l’économie sociale et solidaire au regard du changement radical de contexte institutionnel. </w:t>
      </w:r>
      <w:r>
        <w:rPr>
          <w:rFonts w:ascii="Times New Roman" w:eastAsia="Times New Roman" w:hAnsi="Times New Roman"/>
          <w:sz w:val="24"/>
          <w:szCs w:val="24"/>
        </w:rPr>
        <w:t>La « </w:t>
      </w:r>
      <w:r>
        <w:rPr>
          <w:rFonts w:ascii="Times New Roman" w:eastAsia="Times New Roman" w:hAnsi="Times New Roman"/>
          <w:i/>
          <w:sz w:val="24"/>
          <w:szCs w:val="24"/>
        </w:rPr>
        <w:t xml:space="preserve">social </w:t>
      </w:r>
      <w:proofErr w:type="spellStart"/>
      <w:r>
        <w:rPr>
          <w:rFonts w:ascii="Times New Roman" w:eastAsia="Times New Roman" w:hAnsi="Times New Roman"/>
          <w:i/>
          <w:sz w:val="24"/>
          <w:szCs w:val="24"/>
        </w:rPr>
        <w:t>enterprise</w:t>
      </w:r>
      <w:proofErr w:type="spellEnd"/>
      <w:r>
        <w:rPr>
          <w:rFonts w:ascii="Times New Roman" w:eastAsia="Times New Roman" w:hAnsi="Times New Roman"/>
          <w:sz w:val="24"/>
          <w:szCs w:val="24"/>
        </w:rPr>
        <w:t xml:space="preserve"> » tend à s’imposer tout autant dans l’esprit de l’action publique que dans les visées stratégiques, fonctionnelles et opérationnelles des associations employeurs. Le dessein poursuivi est tout autant de transformer les modes économiques et de gestion d’organisations jusque-là non marchandes et à but non lucratif, que de convertir la solidarité publique-démocratique en solidarité entrepreneuriale-philanthropique. Cette posture problématique exige de questionner les déterminants économiques de la firme sociale tout en montrant qu’elle se </w:t>
      </w:r>
      <w:r>
        <w:rPr>
          <w:rFonts w:ascii="Times New Roman" w:hAnsi="Times New Roman"/>
          <w:sz w:val="24"/>
          <w:szCs w:val="24"/>
        </w:rPr>
        <w:t xml:space="preserve">prête à plusieurs interprétations et configurations possibles. Cette approche pluraliste nous a conduit à nous interroger sur la diversité de figures complémentaires que peut recouvrir la firme sociale dans ses dimensions socioéconomique et sociopolitique et, en prolongement, à proposer une multiformité de trajectoires d’évolution de l’ESS : dans un premier sens, </w:t>
      </w:r>
      <w:r>
        <w:rPr>
          <w:rFonts w:ascii="Times New Roman" w:eastAsia="Times New Roman" w:hAnsi="Times New Roman"/>
          <w:sz w:val="24"/>
          <w:szCs w:val="24"/>
        </w:rPr>
        <w:t>des trajectoires de dépendance à l’action publique ou d’alternatives politiques ; dans un second sens, des trajectoires d’adaptabilité contrainte, maîtrisée ou par mutualisation-coopération ; dans un troisième, des trajectoires de bifurcation et de rupture avec la construction historique de l’économie sociale et solidaire.</w:t>
      </w:r>
    </w:p>
    <w:p w:rsidR="00825349" w:rsidRDefault="00825349">
      <w:pPr>
        <w:widowControl/>
        <w:autoSpaceDE/>
        <w:autoSpaceDN/>
        <w:spacing w:after="160" w:line="259" w:lineRule="auto"/>
        <w:rPr>
          <w:spacing w:val="-3"/>
        </w:rPr>
      </w:pPr>
      <w:r>
        <w:rPr>
          <w:spacing w:val="-3"/>
        </w:rPr>
        <w:br w:type="page"/>
      </w:r>
    </w:p>
    <w:p w:rsidR="005C22CC" w:rsidRDefault="005C22CC" w:rsidP="005C22CC">
      <w:pPr>
        <w:pStyle w:val="Corpsdetexte"/>
        <w:spacing w:before="34" w:line="360" w:lineRule="auto"/>
        <w:ind w:left="387" w:right="986"/>
        <w:jc w:val="center"/>
      </w:pPr>
      <w:bookmarkStart w:id="0" w:name="_GoBack"/>
      <w:bookmarkEnd w:id="0"/>
      <w:r>
        <w:rPr>
          <w:spacing w:val="-3"/>
        </w:rPr>
        <w:lastRenderedPageBreak/>
        <w:t xml:space="preserve">L’innovation </w:t>
      </w:r>
      <w:r>
        <w:t xml:space="preserve">: un levier </w:t>
      </w:r>
      <w:r>
        <w:rPr>
          <w:spacing w:val="-3"/>
        </w:rPr>
        <w:t xml:space="preserve">pour professionnaliser l’économie sociale </w:t>
      </w:r>
      <w:r>
        <w:t xml:space="preserve">et solidaire en </w:t>
      </w:r>
      <w:r>
        <w:rPr>
          <w:spacing w:val="-3"/>
        </w:rPr>
        <w:t xml:space="preserve">s’appuyant </w:t>
      </w:r>
      <w:r>
        <w:t xml:space="preserve">sur </w:t>
      </w:r>
      <w:r>
        <w:rPr>
          <w:spacing w:val="-2"/>
        </w:rPr>
        <w:t xml:space="preserve">ses </w:t>
      </w:r>
      <w:r>
        <w:t>valeurs.</w:t>
      </w:r>
    </w:p>
    <w:p w:rsidR="005C22CC" w:rsidRDefault="005C22CC" w:rsidP="005C22CC">
      <w:pPr>
        <w:pStyle w:val="Corpsdetexte"/>
        <w:spacing w:before="162"/>
        <w:ind w:left="2660"/>
      </w:pPr>
      <w:r>
        <w:t xml:space="preserve">Le cas de la Fondation Protestante </w:t>
      </w:r>
      <w:proofErr w:type="spellStart"/>
      <w:r>
        <w:t>Sonnenhof</w:t>
      </w:r>
      <w:proofErr w:type="spellEnd"/>
    </w:p>
    <w:p w:rsidR="005C22CC" w:rsidRDefault="005C22CC" w:rsidP="005C22CC">
      <w:pPr>
        <w:pStyle w:val="Corpsdetexte"/>
      </w:pPr>
    </w:p>
    <w:p w:rsidR="005C22CC" w:rsidRDefault="005C22CC" w:rsidP="005C22CC">
      <w:pPr>
        <w:pStyle w:val="Corpsdetexte"/>
      </w:pPr>
    </w:p>
    <w:p w:rsidR="005C22CC" w:rsidRDefault="005C22CC" w:rsidP="005C22CC">
      <w:pPr>
        <w:pStyle w:val="Corpsdetexte"/>
        <w:spacing w:before="3"/>
        <w:rPr>
          <w:sz w:val="26"/>
        </w:rPr>
      </w:pPr>
    </w:p>
    <w:p w:rsidR="005C22CC" w:rsidRDefault="005C22CC" w:rsidP="005C22CC">
      <w:pPr>
        <w:pStyle w:val="Corpsdetexte"/>
        <w:ind w:left="387" w:right="981"/>
        <w:jc w:val="center"/>
      </w:pPr>
      <w:r>
        <w:t>Rencontres GESS 2019</w:t>
      </w:r>
    </w:p>
    <w:p w:rsidR="005C22CC" w:rsidRDefault="005C22CC" w:rsidP="005C22CC">
      <w:pPr>
        <w:pStyle w:val="Corpsdetexte"/>
        <w:rPr>
          <w:sz w:val="24"/>
        </w:rPr>
      </w:pPr>
    </w:p>
    <w:p w:rsidR="005C22CC" w:rsidRDefault="005C22CC" w:rsidP="005C22CC">
      <w:pPr>
        <w:pStyle w:val="Corpsdetexte"/>
        <w:spacing w:line="360" w:lineRule="auto"/>
        <w:ind w:left="3582" w:right="4178" w:hanging="1"/>
        <w:jc w:val="center"/>
      </w:pPr>
      <w:r>
        <w:rPr>
          <w:spacing w:val="-3"/>
        </w:rPr>
        <w:t xml:space="preserve">Sophie </w:t>
      </w:r>
      <w:proofErr w:type="spellStart"/>
      <w:r>
        <w:t>Bollinger</w:t>
      </w:r>
      <w:proofErr w:type="spellEnd"/>
      <w:r>
        <w:t xml:space="preserve"> Université de </w:t>
      </w:r>
      <w:r>
        <w:rPr>
          <w:spacing w:val="-3"/>
        </w:rPr>
        <w:t>Strasbourg</w:t>
      </w:r>
    </w:p>
    <w:p w:rsidR="005C22CC" w:rsidRDefault="005C22CC" w:rsidP="005C22CC">
      <w:pPr>
        <w:pStyle w:val="Corpsdetexte"/>
        <w:spacing w:before="1"/>
        <w:ind w:left="387" w:right="981"/>
        <w:jc w:val="center"/>
      </w:pPr>
      <w:r>
        <w:t>Laboratoire BETA / UMR7522 / CNRS</w:t>
      </w:r>
    </w:p>
    <w:p w:rsidR="005C22CC" w:rsidRDefault="005C22CC" w:rsidP="005C22CC">
      <w:pPr>
        <w:pStyle w:val="Corpsdetexte"/>
      </w:pPr>
    </w:p>
    <w:p w:rsidR="005C22CC" w:rsidRDefault="005C22CC" w:rsidP="005C22CC">
      <w:pPr>
        <w:pStyle w:val="Corpsdetexte"/>
      </w:pPr>
    </w:p>
    <w:p w:rsidR="005C22CC" w:rsidRDefault="005C22CC" w:rsidP="005C22CC">
      <w:pPr>
        <w:pStyle w:val="Corpsdetexte"/>
      </w:pPr>
    </w:p>
    <w:p w:rsidR="005C22CC" w:rsidRDefault="005C22CC" w:rsidP="005C22CC">
      <w:pPr>
        <w:pStyle w:val="Corpsdetexte"/>
      </w:pPr>
    </w:p>
    <w:p w:rsidR="005C22CC" w:rsidRPr="005C22CC" w:rsidRDefault="005C22CC" w:rsidP="005C22CC">
      <w:pPr>
        <w:pStyle w:val="Corpsdetexte"/>
        <w:spacing w:before="186"/>
        <w:ind w:left="116"/>
        <w:rPr>
          <w:b/>
        </w:rPr>
      </w:pPr>
      <w:r w:rsidRPr="005C22CC">
        <w:rPr>
          <w:b/>
        </w:rPr>
        <w:t>Résumé</w:t>
      </w:r>
    </w:p>
    <w:p w:rsidR="005C22CC" w:rsidRDefault="005C22CC" w:rsidP="005C22CC">
      <w:pPr>
        <w:pStyle w:val="Corpsdetexte"/>
        <w:rPr>
          <w:sz w:val="24"/>
        </w:rPr>
      </w:pPr>
    </w:p>
    <w:p w:rsidR="005C22CC" w:rsidRDefault="005C22CC" w:rsidP="005C22CC">
      <w:pPr>
        <w:pStyle w:val="Corpsdetexte"/>
        <w:spacing w:line="360" w:lineRule="auto"/>
        <w:ind w:left="116" w:right="713"/>
        <w:jc w:val="both"/>
      </w:pPr>
      <w:r>
        <w:t>L’économie sociale et solidaire (ESS) est en plein bouleversement, notamment en raison de tensions financières</w:t>
      </w:r>
      <w:r>
        <w:rPr>
          <w:spacing w:val="-8"/>
        </w:rPr>
        <w:t xml:space="preserve"> </w:t>
      </w:r>
      <w:r>
        <w:t>importantes.</w:t>
      </w:r>
      <w:r>
        <w:rPr>
          <w:spacing w:val="-8"/>
        </w:rPr>
        <w:t xml:space="preserve"> </w:t>
      </w:r>
      <w:r>
        <w:t>Les</w:t>
      </w:r>
      <w:r>
        <w:rPr>
          <w:spacing w:val="-6"/>
        </w:rPr>
        <w:t xml:space="preserve"> </w:t>
      </w:r>
      <w:r>
        <w:t>organisations</w:t>
      </w:r>
      <w:r>
        <w:rPr>
          <w:spacing w:val="-8"/>
        </w:rPr>
        <w:t xml:space="preserve"> </w:t>
      </w:r>
      <w:r>
        <w:t>de</w:t>
      </w:r>
      <w:r>
        <w:rPr>
          <w:spacing w:val="-5"/>
        </w:rPr>
        <w:t xml:space="preserve"> </w:t>
      </w:r>
      <w:r>
        <w:t>ce</w:t>
      </w:r>
      <w:r>
        <w:rPr>
          <w:spacing w:val="-10"/>
        </w:rPr>
        <w:t xml:space="preserve"> </w:t>
      </w:r>
      <w:r>
        <w:t>secteur</w:t>
      </w:r>
      <w:r>
        <w:rPr>
          <w:spacing w:val="-8"/>
        </w:rPr>
        <w:t xml:space="preserve"> </w:t>
      </w:r>
      <w:r>
        <w:t>sont</w:t>
      </w:r>
      <w:r>
        <w:rPr>
          <w:spacing w:val="-8"/>
        </w:rPr>
        <w:t xml:space="preserve"> </w:t>
      </w:r>
      <w:r>
        <w:t>caractérisées</w:t>
      </w:r>
      <w:r>
        <w:rPr>
          <w:spacing w:val="-8"/>
        </w:rPr>
        <w:t xml:space="preserve"> </w:t>
      </w:r>
      <w:r>
        <w:t>par</w:t>
      </w:r>
      <w:r>
        <w:rPr>
          <w:spacing w:val="-9"/>
        </w:rPr>
        <w:t xml:space="preserve"> </w:t>
      </w:r>
      <w:r>
        <w:t>une</w:t>
      </w:r>
      <w:r>
        <w:rPr>
          <w:spacing w:val="-10"/>
        </w:rPr>
        <w:t xml:space="preserve"> </w:t>
      </w:r>
      <w:r>
        <w:t>identité</w:t>
      </w:r>
      <w:r>
        <w:rPr>
          <w:spacing w:val="-8"/>
        </w:rPr>
        <w:t xml:space="preserve"> </w:t>
      </w:r>
      <w:r>
        <w:t>forte</w:t>
      </w:r>
      <w:r>
        <w:rPr>
          <w:spacing w:val="-8"/>
        </w:rPr>
        <w:t xml:space="preserve"> </w:t>
      </w:r>
      <w:r>
        <w:t>et</w:t>
      </w:r>
      <w:r>
        <w:rPr>
          <w:spacing w:val="-7"/>
        </w:rPr>
        <w:t xml:space="preserve"> </w:t>
      </w:r>
      <w:r>
        <w:t>des principes d’autonomie, de solidarité et de responsabilité (</w:t>
      </w:r>
      <w:proofErr w:type="spellStart"/>
      <w:r>
        <w:t>Laville</w:t>
      </w:r>
      <w:proofErr w:type="spellEnd"/>
      <w:r>
        <w:t xml:space="preserve"> et </w:t>
      </w:r>
      <w:proofErr w:type="spellStart"/>
      <w:r>
        <w:t>Glémain</w:t>
      </w:r>
      <w:proofErr w:type="spellEnd"/>
      <w:r>
        <w:t>, 2009). Elles cherchent le moyen</w:t>
      </w:r>
      <w:r>
        <w:rPr>
          <w:spacing w:val="-3"/>
        </w:rPr>
        <w:t xml:space="preserve"> </w:t>
      </w:r>
      <w:r>
        <w:t>de</w:t>
      </w:r>
      <w:r>
        <w:rPr>
          <w:spacing w:val="-6"/>
        </w:rPr>
        <w:t xml:space="preserve"> </w:t>
      </w:r>
      <w:r>
        <w:t>s’adapter</w:t>
      </w:r>
      <w:r>
        <w:rPr>
          <w:spacing w:val="-3"/>
        </w:rPr>
        <w:t xml:space="preserve"> </w:t>
      </w:r>
      <w:r>
        <w:t>et</w:t>
      </w:r>
      <w:r>
        <w:rPr>
          <w:spacing w:val="-4"/>
        </w:rPr>
        <w:t xml:space="preserve"> </w:t>
      </w:r>
      <w:r>
        <w:t>de</w:t>
      </w:r>
      <w:r>
        <w:rPr>
          <w:spacing w:val="-4"/>
        </w:rPr>
        <w:t xml:space="preserve"> </w:t>
      </w:r>
      <w:r>
        <w:t>trouver</w:t>
      </w:r>
      <w:r>
        <w:rPr>
          <w:spacing w:val="-3"/>
        </w:rPr>
        <w:t xml:space="preserve"> </w:t>
      </w:r>
      <w:r>
        <w:t>un</w:t>
      </w:r>
      <w:r>
        <w:rPr>
          <w:spacing w:val="-3"/>
        </w:rPr>
        <w:t xml:space="preserve"> </w:t>
      </w:r>
      <w:r>
        <w:t>équilibre</w:t>
      </w:r>
      <w:r>
        <w:rPr>
          <w:spacing w:val="-4"/>
        </w:rPr>
        <w:t xml:space="preserve"> </w:t>
      </w:r>
      <w:r>
        <w:t>entre</w:t>
      </w:r>
      <w:r>
        <w:rPr>
          <w:spacing w:val="-4"/>
        </w:rPr>
        <w:t xml:space="preserve"> </w:t>
      </w:r>
      <w:r>
        <w:t>les</w:t>
      </w:r>
      <w:r>
        <w:rPr>
          <w:spacing w:val="-3"/>
        </w:rPr>
        <w:t xml:space="preserve"> </w:t>
      </w:r>
      <w:r>
        <w:t>impératifs</w:t>
      </w:r>
      <w:r>
        <w:rPr>
          <w:spacing w:val="-3"/>
        </w:rPr>
        <w:t xml:space="preserve"> </w:t>
      </w:r>
      <w:r>
        <w:t>de</w:t>
      </w:r>
      <w:r>
        <w:rPr>
          <w:spacing w:val="-4"/>
        </w:rPr>
        <w:t xml:space="preserve"> </w:t>
      </w:r>
      <w:r>
        <w:t>gestion</w:t>
      </w:r>
      <w:r>
        <w:rPr>
          <w:spacing w:val="-3"/>
        </w:rPr>
        <w:t xml:space="preserve"> </w:t>
      </w:r>
      <w:r>
        <w:t>et la</w:t>
      </w:r>
      <w:r>
        <w:rPr>
          <w:spacing w:val="-3"/>
        </w:rPr>
        <w:t xml:space="preserve"> </w:t>
      </w:r>
      <w:r>
        <w:t>préservation</w:t>
      </w:r>
      <w:r>
        <w:rPr>
          <w:spacing w:val="-4"/>
        </w:rPr>
        <w:t xml:space="preserve"> </w:t>
      </w:r>
      <w:r>
        <w:t>de</w:t>
      </w:r>
      <w:r>
        <w:rPr>
          <w:spacing w:val="-2"/>
        </w:rPr>
        <w:t xml:space="preserve"> </w:t>
      </w:r>
      <w:r>
        <w:t xml:space="preserve">leur sens. Par le biais de l’étude de la Fondation Protestante </w:t>
      </w:r>
      <w:proofErr w:type="spellStart"/>
      <w:r>
        <w:t>Sonnenhof</w:t>
      </w:r>
      <w:proofErr w:type="spellEnd"/>
      <w:r>
        <w:t>, nous verrons pourquoi la mise en place d’un référentiel de valeurs par les managers et pour les managers est une solution innovante permettant</w:t>
      </w:r>
      <w:r>
        <w:rPr>
          <w:spacing w:val="-4"/>
        </w:rPr>
        <w:t xml:space="preserve"> </w:t>
      </w:r>
      <w:r>
        <w:t>de</w:t>
      </w:r>
      <w:r>
        <w:rPr>
          <w:spacing w:val="-5"/>
        </w:rPr>
        <w:t xml:space="preserve"> </w:t>
      </w:r>
      <w:r>
        <w:t>concilier</w:t>
      </w:r>
      <w:r>
        <w:rPr>
          <w:spacing w:val="-3"/>
        </w:rPr>
        <w:t xml:space="preserve"> </w:t>
      </w:r>
      <w:r>
        <w:t>le</w:t>
      </w:r>
      <w:r>
        <w:rPr>
          <w:spacing w:val="-5"/>
        </w:rPr>
        <w:t xml:space="preserve"> </w:t>
      </w:r>
      <w:r>
        <w:t>besoin</w:t>
      </w:r>
      <w:r>
        <w:rPr>
          <w:spacing w:val="-5"/>
        </w:rPr>
        <w:t xml:space="preserve"> </w:t>
      </w:r>
      <w:r>
        <w:t>d’affirmer</w:t>
      </w:r>
      <w:r>
        <w:rPr>
          <w:spacing w:val="-5"/>
        </w:rPr>
        <w:t xml:space="preserve"> </w:t>
      </w:r>
      <w:r>
        <w:t>ses</w:t>
      </w:r>
      <w:r>
        <w:rPr>
          <w:spacing w:val="-4"/>
        </w:rPr>
        <w:t xml:space="preserve"> </w:t>
      </w:r>
      <w:r>
        <w:t>valeurs</w:t>
      </w:r>
      <w:r>
        <w:rPr>
          <w:spacing w:val="-5"/>
        </w:rPr>
        <w:t xml:space="preserve"> </w:t>
      </w:r>
      <w:r>
        <w:t>tout</w:t>
      </w:r>
      <w:r>
        <w:rPr>
          <w:spacing w:val="-5"/>
        </w:rPr>
        <w:t xml:space="preserve"> </w:t>
      </w:r>
      <w:r>
        <w:t>en</w:t>
      </w:r>
      <w:r>
        <w:rPr>
          <w:spacing w:val="-4"/>
        </w:rPr>
        <w:t xml:space="preserve"> </w:t>
      </w:r>
      <w:r>
        <w:t>insufflant</w:t>
      </w:r>
      <w:r>
        <w:rPr>
          <w:spacing w:val="-3"/>
        </w:rPr>
        <w:t xml:space="preserve"> </w:t>
      </w:r>
      <w:r>
        <w:t>un</w:t>
      </w:r>
      <w:r>
        <w:rPr>
          <w:spacing w:val="-4"/>
        </w:rPr>
        <w:t xml:space="preserve"> </w:t>
      </w:r>
      <w:r>
        <w:t>élan</w:t>
      </w:r>
      <w:r>
        <w:rPr>
          <w:spacing w:val="-4"/>
        </w:rPr>
        <w:t xml:space="preserve"> </w:t>
      </w:r>
      <w:r>
        <w:t>de</w:t>
      </w:r>
      <w:r>
        <w:rPr>
          <w:spacing w:val="-4"/>
        </w:rPr>
        <w:t xml:space="preserve"> </w:t>
      </w:r>
      <w:r>
        <w:t>modernisme</w:t>
      </w:r>
      <w:r>
        <w:rPr>
          <w:spacing w:val="-5"/>
        </w:rPr>
        <w:t xml:space="preserve"> </w:t>
      </w:r>
      <w:r>
        <w:t>et</w:t>
      </w:r>
      <w:r>
        <w:rPr>
          <w:spacing w:val="-4"/>
        </w:rPr>
        <w:t xml:space="preserve"> </w:t>
      </w:r>
      <w:r>
        <w:t>de professionnalisation.</w:t>
      </w:r>
    </w:p>
    <w:p w:rsidR="005C22CC" w:rsidRDefault="005C22CC" w:rsidP="005C22CC">
      <w:pPr>
        <w:pStyle w:val="Corpsdetexte"/>
        <w:spacing w:before="162"/>
        <w:ind w:left="116"/>
        <w:jc w:val="both"/>
        <w:sectPr w:rsidR="005C22CC" w:rsidSect="005C22CC">
          <w:footerReference w:type="default" r:id="rId8"/>
          <w:pgSz w:w="11910" w:h="16840"/>
          <w:pgMar w:top="1360" w:right="700" w:bottom="1200" w:left="1300" w:header="720" w:footer="1003" w:gutter="0"/>
          <w:pgNumType w:start="1"/>
          <w:cols w:space="720"/>
        </w:sectPr>
      </w:pPr>
      <w:r w:rsidRPr="005C22CC">
        <w:rPr>
          <w:b/>
        </w:rPr>
        <w:t>Mots clés :</w:t>
      </w:r>
      <w:r>
        <w:t xml:space="preserve"> valeurs, management par les valeurs, économie sociale et solidaire, innovation.</w:t>
      </w:r>
    </w:p>
    <w:p w:rsidR="00A16E8A" w:rsidRDefault="00A16E8A" w:rsidP="00A16E8A">
      <w:pPr>
        <w:jc w:val="center"/>
        <w:rPr>
          <w:rFonts w:asciiTheme="minorHAnsi" w:eastAsiaTheme="minorHAnsi" w:hAnsiTheme="minorHAnsi" w:cstheme="minorBidi"/>
          <w:sz w:val="32"/>
          <w:lang w:bidi="ar-SA"/>
        </w:rPr>
      </w:pPr>
      <w:r>
        <w:rPr>
          <w:sz w:val="32"/>
        </w:rPr>
        <w:lastRenderedPageBreak/>
        <w:t>GESS 2019 – Résumé étendu</w:t>
      </w:r>
    </w:p>
    <w:p w:rsidR="00A16E8A" w:rsidRDefault="00A16E8A" w:rsidP="00A16E8A">
      <w:pPr>
        <w:rPr>
          <w:rFonts w:ascii="Times New Roman" w:eastAsia="Times New Roman" w:hAnsi="Times New Roman" w:cs="Times New Roman"/>
          <w:sz w:val="24"/>
          <w:szCs w:val="24"/>
        </w:rPr>
      </w:pPr>
    </w:p>
    <w:p w:rsidR="00A16E8A" w:rsidRDefault="00A16E8A" w:rsidP="00A16E8A">
      <w:pPr>
        <w:ind w:firstLine="720"/>
        <w:jc w:val="center"/>
        <w:rPr>
          <w:rFonts w:ascii="Times New Roman" w:eastAsia="Times New Roman" w:hAnsi="Times New Roman" w:cs="Times New Roman"/>
          <w:sz w:val="28"/>
          <w:szCs w:val="24"/>
        </w:rPr>
      </w:pPr>
      <w:proofErr w:type="spellStart"/>
      <w:r>
        <w:rPr>
          <w:rFonts w:ascii="Times New Roman" w:eastAsia="Times New Roman" w:hAnsi="Times New Roman" w:cs="Times New Roman"/>
          <w:sz w:val="28"/>
          <w:szCs w:val="24"/>
        </w:rPr>
        <w:t>Intrepreneuriat</w:t>
      </w:r>
      <w:proofErr w:type="spellEnd"/>
      <w:r>
        <w:rPr>
          <w:rFonts w:ascii="Times New Roman" w:eastAsia="Times New Roman" w:hAnsi="Times New Roman" w:cs="Times New Roman"/>
          <w:sz w:val="28"/>
          <w:szCs w:val="24"/>
        </w:rPr>
        <w:t xml:space="preserve"> et religion : </w:t>
      </w:r>
    </w:p>
    <w:p w:rsidR="00A16E8A" w:rsidRDefault="00A16E8A" w:rsidP="00A16E8A">
      <w:pPr>
        <w:ind w:firstLine="720"/>
        <w:jc w:val="center"/>
        <w:rPr>
          <w:rFonts w:ascii="Times New Roman" w:eastAsia="Times New Roman" w:hAnsi="Times New Roman" w:cs="Times New Roman"/>
          <w:sz w:val="28"/>
          <w:szCs w:val="24"/>
        </w:rPr>
      </w:pPr>
      <w:proofErr w:type="gramStart"/>
      <w:r>
        <w:rPr>
          <w:rFonts w:ascii="Times New Roman" w:eastAsia="Times New Roman" w:hAnsi="Times New Roman" w:cs="Times New Roman"/>
          <w:sz w:val="28"/>
          <w:szCs w:val="24"/>
        </w:rPr>
        <w:t>le</w:t>
      </w:r>
      <w:proofErr w:type="gramEnd"/>
      <w:r>
        <w:rPr>
          <w:rFonts w:ascii="Times New Roman" w:eastAsia="Times New Roman" w:hAnsi="Times New Roman" w:cs="Times New Roman"/>
          <w:sz w:val="28"/>
          <w:szCs w:val="24"/>
        </w:rPr>
        <w:t xml:space="preserve"> cas des Dominicains </w:t>
      </w:r>
    </w:p>
    <w:p w:rsidR="00A16E8A" w:rsidRDefault="00A16E8A" w:rsidP="00A16E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16E8A" w:rsidRDefault="00A16E8A" w:rsidP="00A16E8A">
      <w:pPr>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FRANÇOIS DELORME, CERAG (EA 7521), Université Grenoble Alpes</w:t>
      </w:r>
    </w:p>
    <w:p w:rsidR="00A16E8A" w:rsidRDefault="00A16E8A" w:rsidP="00A16E8A">
      <w:pPr>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ALEXANDRINE LAPOUTTE, </w:t>
      </w:r>
      <w:proofErr w:type="spellStart"/>
      <w:r>
        <w:rPr>
          <w:rFonts w:ascii="Times New Roman" w:eastAsia="Times New Roman" w:hAnsi="Times New Roman" w:cs="Times New Roman"/>
          <w:sz w:val="24"/>
          <w:szCs w:val="24"/>
        </w:rPr>
        <w:t>Univ</w:t>
      </w:r>
      <w:proofErr w:type="spellEnd"/>
      <w:r>
        <w:rPr>
          <w:rFonts w:ascii="Times New Roman" w:eastAsia="Times New Roman" w:hAnsi="Times New Roman" w:cs="Times New Roman"/>
          <w:sz w:val="24"/>
          <w:szCs w:val="24"/>
        </w:rPr>
        <w:t xml:space="preserve">. Lyon, </w:t>
      </w:r>
      <w:proofErr w:type="spellStart"/>
      <w:r>
        <w:rPr>
          <w:rFonts w:ascii="Times New Roman" w:eastAsia="Times New Roman" w:hAnsi="Times New Roman" w:cs="Times New Roman"/>
          <w:sz w:val="24"/>
          <w:szCs w:val="24"/>
        </w:rPr>
        <w:t>Univ</w:t>
      </w:r>
      <w:proofErr w:type="spellEnd"/>
      <w:r>
        <w:rPr>
          <w:rFonts w:ascii="Times New Roman" w:eastAsia="Times New Roman" w:hAnsi="Times New Roman" w:cs="Times New Roman"/>
          <w:sz w:val="24"/>
          <w:szCs w:val="24"/>
        </w:rPr>
        <w:t>. Lumière Lyon 2, COACTIS, (EA 4161), F-69007, Lyon</w:t>
      </w:r>
    </w:p>
    <w:p w:rsidR="00A16E8A" w:rsidRDefault="00A16E8A" w:rsidP="00A16E8A">
      <w:pPr>
        <w:rPr>
          <w:rFonts w:ascii="Times New Roman" w:eastAsia="Times New Roman" w:hAnsi="Times New Roman" w:cs="Times New Roman"/>
          <w:sz w:val="24"/>
          <w:szCs w:val="24"/>
        </w:rPr>
      </w:pPr>
    </w:p>
    <w:p w:rsidR="00A16E8A" w:rsidRDefault="00A16E8A" w:rsidP="00A16E8A">
      <w:pPr>
        <w:rPr>
          <w:rFonts w:ascii="Times New Roman" w:eastAsia="Times New Roman" w:hAnsi="Times New Roman" w:cs="Times New Roman"/>
          <w:sz w:val="24"/>
          <w:szCs w:val="24"/>
        </w:rPr>
      </w:pPr>
    </w:p>
    <w:p w:rsidR="00A16E8A" w:rsidRDefault="00A16E8A" w:rsidP="00A16E8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Mots-clés : communauté ; </w:t>
      </w:r>
      <w:proofErr w:type="spellStart"/>
      <w:r>
        <w:rPr>
          <w:rFonts w:ascii="Times New Roman" w:eastAsia="Times New Roman" w:hAnsi="Times New Roman" w:cs="Times New Roman"/>
          <w:sz w:val="24"/>
          <w:szCs w:val="24"/>
        </w:rPr>
        <w:t>intrapreneuriat</w:t>
      </w:r>
      <w:proofErr w:type="spellEnd"/>
      <w:r>
        <w:rPr>
          <w:rFonts w:ascii="Times New Roman" w:eastAsia="Times New Roman" w:hAnsi="Times New Roman" w:cs="Times New Roman"/>
          <w:sz w:val="24"/>
          <w:szCs w:val="24"/>
        </w:rPr>
        <w:t> ; religion.</w:t>
      </w:r>
    </w:p>
    <w:p w:rsidR="00A16E8A" w:rsidRDefault="00A16E8A" w:rsidP="00A16E8A">
      <w:pPr>
        <w:rPr>
          <w:rFonts w:ascii="Times New Roman" w:eastAsia="Times New Roman" w:hAnsi="Times New Roman" w:cs="Times New Roman"/>
          <w:sz w:val="24"/>
          <w:szCs w:val="24"/>
        </w:rPr>
      </w:pPr>
    </w:p>
    <w:p w:rsidR="00A16E8A" w:rsidRDefault="00A16E8A" w:rsidP="00A16E8A">
      <w:pPr>
        <w:jc w:val="both"/>
        <w:rPr>
          <w:rFonts w:ascii="Times New Roman" w:eastAsia="Times New Roman" w:hAnsi="Times New Roman" w:cs="Times New Roman"/>
          <w:sz w:val="24"/>
          <w:szCs w:val="24"/>
        </w:rPr>
      </w:pPr>
      <w:r>
        <w:rPr>
          <w:rFonts w:ascii="Times New Roman" w:eastAsia="Times New Roman" w:hAnsi="Times New Roman" w:cs="Times New Roman"/>
          <w:color w:val="000000"/>
        </w:rPr>
        <w:t> </w:t>
      </w:r>
    </w:p>
    <w:p w:rsidR="00A16E8A" w:rsidRDefault="00A16E8A" w:rsidP="00A16E8A">
      <w:pPr>
        <w:jc w:val="both"/>
        <w:rPr>
          <w:rFonts w:ascii="Times New Roman" w:eastAsia="Times New Roman" w:hAnsi="Times New Roman" w:cs="Times New Roman"/>
          <w:sz w:val="24"/>
          <w:szCs w:val="24"/>
        </w:rPr>
      </w:pPr>
      <w:r>
        <w:rPr>
          <w:rFonts w:ascii="Times New Roman" w:eastAsia="Times New Roman" w:hAnsi="Times New Roman" w:cs="Times New Roman"/>
          <w:color w:val="000000"/>
        </w:rPr>
        <w:t>L’ORGANISATION RELIGIEUSE : UN CONTEXTE FAVORABLE À L’INTRAPRENEURIAT </w:t>
      </w:r>
    </w:p>
    <w:p w:rsidR="00A16E8A" w:rsidRDefault="00A16E8A" w:rsidP="00A16E8A">
      <w:pPr>
        <w:rPr>
          <w:rFonts w:ascii="Times New Roman" w:eastAsia="Times New Roman" w:hAnsi="Times New Roman" w:cs="Times New Roman"/>
          <w:sz w:val="24"/>
          <w:szCs w:val="24"/>
        </w:rPr>
      </w:pPr>
    </w:p>
    <w:p w:rsidR="00A16E8A" w:rsidRDefault="00A16E8A" w:rsidP="00A16E8A">
      <w:pPr>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Les organisations religieuses se caractérisent par un rapport à l’autre spécifique. Comme le souligne Gomez (2009 : 2), l’étude de l’organisation religieuse « répond non seulement à une exigence culturelle mais aussi à une quête d’efficacité car elle prend en compte la « pâte humaine » dont est faite toute entreprise ». </w:t>
      </w:r>
    </w:p>
    <w:p w:rsidR="00A16E8A" w:rsidRDefault="00A16E8A" w:rsidP="00A16E8A">
      <w:pPr>
        <w:jc w:val="both"/>
        <w:rPr>
          <w:rFonts w:ascii="Times New Roman" w:eastAsia="Times New Roman" w:hAnsi="Times New Roman" w:cs="Times New Roman"/>
          <w:sz w:val="24"/>
          <w:szCs w:val="24"/>
        </w:rPr>
      </w:pPr>
      <w:r>
        <w:rPr>
          <w:rFonts w:ascii="Times New Roman" w:eastAsia="Times New Roman" w:hAnsi="Times New Roman" w:cs="Times New Roman"/>
          <w:color w:val="000000"/>
        </w:rPr>
        <w:t>Depuis le travail séminal de Weber (1930) sur le protestantisme et l’esprit du capitalisme, différents travaux de recherche établissent un lien positif entre religion et entrepreneuriat. Dans la religion chrétienne, cela s’explique par l’importance de valeurs telles que générosité, honnêteté, persévérance, courage, prévoyance, effort (</w:t>
      </w:r>
      <w:proofErr w:type="spellStart"/>
      <w:r>
        <w:rPr>
          <w:rFonts w:ascii="Times New Roman" w:eastAsia="Times New Roman" w:hAnsi="Times New Roman" w:cs="Times New Roman"/>
          <w:color w:val="000000"/>
        </w:rPr>
        <w:t>Drakopoulou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Dodd</w:t>
      </w:r>
      <w:proofErr w:type="spellEnd"/>
      <w:r>
        <w:rPr>
          <w:rFonts w:ascii="Times New Roman" w:eastAsia="Times New Roman" w:hAnsi="Times New Roman" w:cs="Times New Roman"/>
          <w:color w:val="000000"/>
        </w:rPr>
        <w:t xml:space="preserve"> &amp; </w:t>
      </w:r>
      <w:proofErr w:type="spellStart"/>
      <w:r>
        <w:rPr>
          <w:rFonts w:ascii="Times New Roman" w:eastAsia="Times New Roman" w:hAnsi="Times New Roman" w:cs="Times New Roman"/>
          <w:color w:val="000000"/>
        </w:rPr>
        <w:t>Seaman</w:t>
      </w:r>
      <w:proofErr w:type="spellEnd"/>
      <w:r>
        <w:rPr>
          <w:rFonts w:ascii="Times New Roman" w:eastAsia="Times New Roman" w:hAnsi="Times New Roman" w:cs="Times New Roman"/>
          <w:color w:val="000000"/>
        </w:rPr>
        <w:t>, 1998), de même que sens de l’économie, capacité à faire face à l’incertitude et accès à des ressources et informations (</w:t>
      </w:r>
      <w:proofErr w:type="spellStart"/>
      <w:r>
        <w:rPr>
          <w:rFonts w:ascii="Times New Roman" w:eastAsia="Times New Roman" w:hAnsi="Times New Roman" w:cs="Times New Roman"/>
          <w:color w:val="000000"/>
        </w:rPr>
        <w:t>Parboteeah</w:t>
      </w:r>
      <w:proofErr w:type="spellEnd"/>
      <w:r>
        <w:rPr>
          <w:rFonts w:ascii="Times New Roman" w:eastAsia="Times New Roman" w:hAnsi="Times New Roman" w:cs="Times New Roman"/>
          <w:color w:val="000000"/>
        </w:rPr>
        <w:t>, Walter, &amp; Block, 2015). </w:t>
      </w:r>
    </w:p>
    <w:p w:rsidR="00A16E8A" w:rsidRDefault="00A16E8A" w:rsidP="00A16E8A">
      <w:pPr>
        <w:jc w:val="both"/>
        <w:rPr>
          <w:rFonts w:ascii="Times New Roman" w:eastAsia="Times New Roman" w:hAnsi="Times New Roman" w:cs="Times New Roman"/>
          <w:color w:val="000000"/>
        </w:rPr>
      </w:pPr>
      <w:r>
        <w:rPr>
          <w:rFonts w:ascii="Times New Roman" w:eastAsia="Times New Roman" w:hAnsi="Times New Roman" w:cs="Times New Roman"/>
          <w:color w:val="000000"/>
        </w:rPr>
        <w:t>Dans le cas de la religion catholique, Gomez (2009) souligne la place explicite que prend l’</w:t>
      </w:r>
      <w:proofErr w:type="spellStart"/>
      <w:r>
        <w:rPr>
          <w:rFonts w:ascii="Times New Roman" w:eastAsia="Times New Roman" w:hAnsi="Times New Roman" w:cs="Times New Roman"/>
          <w:color w:val="000000"/>
        </w:rPr>
        <w:t>intrapreneuriat</w:t>
      </w:r>
      <w:proofErr w:type="spellEnd"/>
      <w:r>
        <w:rPr>
          <w:rFonts w:ascii="Times New Roman" w:eastAsia="Times New Roman" w:hAnsi="Times New Roman" w:cs="Times New Roman"/>
          <w:color w:val="000000"/>
        </w:rPr>
        <w:t xml:space="preserve"> dans l’encyclique Caritas in </w:t>
      </w:r>
      <w:proofErr w:type="spellStart"/>
      <w:r>
        <w:rPr>
          <w:rFonts w:ascii="Times New Roman" w:eastAsia="Times New Roman" w:hAnsi="Times New Roman" w:cs="Times New Roman"/>
          <w:color w:val="000000"/>
        </w:rPr>
        <w:t>veritate</w:t>
      </w:r>
      <w:proofErr w:type="spellEnd"/>
      <w:r>
        <w:rPr>
          <w:rFonts w:ascii="Times New Roman" w:eastAsia="Times New Roman" w:hAnsi="Times New Roman" w:cs="Times New Roman"/>
          <w:color w:val="000000"/>
        </w:rPr>
        <w:t xml:space="preserve"> (l’Amour dans la vérité) du Pape Benoît XVI en 2009. « On pourra lire, par exemple, un étonnant passage sur l’entrepreneuriat dans lequel le Pape insiste sur l’importance de généraliser la possibilité d’entreprendre, y compris à l’intérieur même de l’entreprise. « Avant d’avoir une signification professionnelle, l'entrepreneuriat a une signification humaine. Il est inscrit dans tout travail, […] c’est pourquoi il est bon qu’à tout travailleur soit offerte la possibilité d’apporter sa contribution propre de sorte que lui-même sache travailler à son compte » (n° 41) » (p. 3). </w:t>
      </w:r>
    </w:p>
    <w:p w:rsidR="00A16E8A" w:rsidRDefault="00A16E8A" w:rsidP="00A16E8A">
      <w:pPr>
        <w:jc w:val="both"/>
        <w:rPr>
          <w:rFonts w:ascii="Times New Roman" w:eastAsia="Times New Roman" w:hAnsi="Times New Roman" w:cs="Times New Roman"/>
          <w:sz w:val="24"/>
          <w:szCs w:val="24"/>
        </w:rPr>
      </w:pPr>
      <w:r>
        <w:rPr>
          <w:rFonts w:ascii="Times New Roman" w:eastAsia="Times New Roman" w:hAnsi="Times New Roman" w:cs="Times New Roman"/>
          <w:color w:val="000000"/>
        </w:rPr>
        <w:t>L’organisation dominicaine semble comporter plusieurs éléments de nature à favoriser l’</w:t>
      </w:r>
      <w:proofErr w:type="spellStart"/>
      <w:r>
        <w:rPr>
          <w:rFonts w:ascii="Times New Roman" w:eastAsia="Times New Roman" w:hAnsi="Times New Roman" w:cs="Times New Roman"/>
          <w:color w:val="000000"/>
        </w:rPr>
        <w:t>intrapreneuriat</w:t>
      </w:r>
      <w:proofErr w:type="spellEnd"/>
      <w:r>
        <w:rPr>
          <w:rFonts w:ascii="Times New Roman" w:eastAsia="Times New Roman" w:hAnsi="Times New Roman" w:cs="Times New Roman"/>
          <w:color w:val="000000"/>
        </w:rPr>
        <w:t xml:space="preserve"> (culture de l’initiative, cadre démocratique, partage des normes…). Néanmoins à notre connaissance, la littérature n’a pas encore conceptualisé l’</w:t>
      </w:r>
      <w:proofErr w:type="spellStart"/>
      <w:r>
        <w:rPr>
          <w:rFonts w:ascii="Times New Roman" w:eastAsia="Times New Roman" w:hAnsi="Times New Roman" w:cs="Times New Roman"/>
          <w:color w:val="000000"/>
        </w:rPr>
        <w:t>intrapreneuriat</w:t>
      </w:r>
      <w:proofErr w:type="spellEnd"/>
      <w:r>
        <w:rPr>
          <w:rFonts w:ascii="Times New Roman" w:eastAsia="Times New Roman" w:hAnsi="Times New Roman" w:cs="Times New Roman"/>
          <w:color w:val="000000"/>
        </w:rPr>
        <w:t xml:space="preserve"> dans une organisation religieuse. Il paraît d’autant plus urgent de combler ce gap, les entreprises ayant parfois des difficultés à diffuser l’</w:t>
      </w:r>
      <w:proofErr w:type="spellStart"/>
      <w:r>
        <w:rPr>
          <w:rFonts w:ascii="Times New Roman" w:eastAsia="Times New Roman" w:hAnsi="Times New Roman" w:cs="Times New Roman"/>
          <w:color w:val="000000"/>
        </w:rPr>
        <w:t>intrapreneuriat</w:t>
      </w:r>
      <w:proofErr w:type="spellEnd"/>
      <w:r>
        <w:rPr>
          <w:rFonts w:ascii="Times New Roman" w:eastAsia="Times New Roman" w:hAnsi="Times New Roman" w:cs="Times New Roman"/>
          <w:color w:val="000000"/>
        </w:rPr>
        <w:t xml:space="preserve"> à l’ensemble de l’organisation, à l’ancrer dans la culture et le niveau stratégique. Il arrive aussi que l’</w:t>
      </w:r>
      <w:proofErr w:type="spellStart"/>
      <w:r>
        <w:rPr>
          <w:rFonts w:ascii="Times New Roman" w:eastAsia="Times New Roman" w:hAnsi="Times New Roman" w:cs="Times New Roman"/>
          <w:color w:val="000000"/>
        </w:rPr>
        <w:t>intrapreneuriat</w:t>
      </w:r>
      <w:proofErr w:type="spellEnd"/>
      <w:r>
        <w:rPr>
          <w:rFonts w:ascii="Times New Roman" w:eastAsia="Times New Roman" w:hAnsi="Times New Roman" w:cs="Times New Roman"/>
          <w:color w:val="000000"/>
        </w:rPr>
        <w:t xml:space="preserve"> soit un effet de mode, voire une injonction paradoxale. L’étude des organisations religieuses se révèle alors pertinente à plusieurs titres. Dans l’organisation conventionnelle, la culture est tellement forte qu’elle est intégrée à la stratégie. Enfin, ce type d’organisation véhicule une compréhension du monde particulièrement pertinente d’un point de vue sociétal (Gomez, 2009; </w:t>
      </w:r>
      <w:proofErr w:type="spellStart"/>
      <w:r>
        <w:rPr>
          <w:rFonts w:ascii="Times New Roman" w:eastAsia="Times New Roman" w:hAnsi="Times New Roman" w:cs="Times New Roman"/>
          <w:color w:val="000000"/>
        </w:rPr>
        <w:t>Gotsis</w:t>
      </w:r>
      <w:proofErr w:type="spellEnd"/>
      <w:r>
        <w:rPr>
          <w:rFonts w:ascii="Times New Roman" w:eastAsia="Times New Roman" w:hAnsi="Times New Roman" w:cs="Times New Roman"/>
          <w:color w:val="000000"/>
        </w:rPr>
        <w:t xml:space="preserve"> et </w:t>
      </w:r>
      <w:proofErr w:type="spellStart"/>
      <w:r>
        <w:rPr>
          <w:rFonts w:ascii="Times New Roman" w:eastAsia="Times New Roman" w:hAnsi="Times New Roman" w:cs="Times New Roman"/>
          <w:color w:val="000000"/>
        </w:rPr>
        <w:t>Kortezi</w:t>
      </w:r>
      <w:proofErr w:type="spellEnd"/>
      <w:r>
        <w:rPr>
          <w:rFonts w:ascii="Times New Roman" w:eastAsia="Times New Roman" w:hAnsi="Times New Roman" w:cs="Times New Roman"/>
          <w:color w:val="000000"/>
        </w:rPr>
        <w:t>, 2009).</w:t>
      </w:r>
    </w:p>
    <w:p w:rsidR="00A16E8A" w:rsidRDefault="00A16E8A" w:rsidP="00A16E8A">
      <w:pPr>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Afin de comprendre plus précisément cette dynamique, le modèle de Ireland, </w:t>
      </w:r>
      <w:proofErr w:type="spellStart"/>
      <w:r>
        <w:rPr>
          <w:rFonts w:ascii="Times New Roman" w:eastAsia="Times New Roman" w:hAnsi="Times New Roman" w:cs="Times New Roman"/>
          <w:color w:val="000000"/>
        </w:rPr>
        <w:t>Kuratko</w:t>
      </w:r>
      <w:proofErr w:type="spellEnd"/>
      <w:r>
        <w:rPr>
          <w:rFonts w:ascii="Times New Roman" w:eastAsia="Times New Roman" w:hAnsi="Times New Roman" w:cs="Times New Roman"/>
          <w:color w:val="000000"/>
        </w:rPr>
        <w:t xml:space="preserve"> et Morris (2006), modèle qui fait référence, sera mobilisé. Les auteurs identifient quatre leviers de la dynamique </w:t>
      </w:r>
      <w:proofErr w:type="spellStart"/>
      <w:r>
        <w:rPr>
          <w:rFonts w:ascii="Times New Roman" w:eastAsia="Times New Roman" w:hAnsi="Times New Roman" w:cs="Times New Roman"/>
          <w:color w:val="000000"/>
        </w:rPr>
        <w:t>intrapreneuriale</w:t>
      </w:r>
      <w:proofErr w:type="spellEnd"/>
      <w:r>
        <w:rPr>
          <w:rFonts w:ascii="Times New Roman" w:eastAsia="Times New Roman" w:hAnsi="Times New Roman" w:cs="Times New Roman"/>
          <w:color w:val="000000"/>
        </w:rPr>
        <w:t xml:space="preserve"> : </w:t>
      </w:r>
    </w:p>
    <w:p w:rsidR="00A16E8A" w:rsidRDefault="00A16E8A" w:rsidP="00A16E8A">
      <w:pPr>
        <w:widowControl/>
        <w:numPr>
          <w:ilvl w:val="0"/>
          <w:numId w:val="1"/>
        </w:numPr>
        <w:autoSpaceDE/>
        <w:autoSpaceDN/>
        <w:jc w:val="both"/>
        <w:textAlignment w:val="baseline"/>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le</w:t>
      </w:r>
      <w:proofErr w:type="gramEnd"/>
      <w:r>
        <w:rPr>
          <w:rFonts w:ascii="Times New Roman" w:eastAsia="Times New Roman" w:hAnsi="Times New Roman" w:cs="Times New Roman"/>
          <w:color w:val="000000"/>
        </w:rPr>
        <w:t xml:space="preserve"> management des ressources humaines : recrutement de profils </w:t>
      </w:r>
      <w:proofErr w:type="spellStart"/>
      <w:r>
        <w:rPr>
          <w:rFonts w:ascii="Times New Roman" w:eastAsia="Times New Roman" w:hAnsi="Times New Roman" w:cs="Times New Roman"/>
          <w:color w:val="000000"/>
        </w:rPr>
        <w:t>intrapreneurs</w:t>
      </w:r>
      <w:proofErr w:type="spellEnd"/>
      <w:r>
        <w:rPr>
          <w:rFonts w:ascii="Times New Roman" w:eastAsia="Times New Roman" w:hAnsi="Times New Roman" w:cs="Times New Roman"/>
          <w:color w:val="000000"/>
        </w:rPr>
        <w:t>, partage de connaissances et apprentissages; </w:t>
      </w:r>
    </w:p>
    <w:p w:rsidR="00A16E8A" w:rsidRDefault="00A16E8A" w:rsidP="00A16E8A">
      <w:pPr>
        <w:widowControl/>
        <w:numPr>
          <w:ilvl w:val="0"/>
          <w:numId w:val="1"/>
        </w:numPr>
        <w:autoSpaceDE/>
        <w:autoSpaceDN/>
        <w:jc w:val="both"/>
        <w:textAlignment w:val="baseline"/>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la</w:t>
      </w:r>
      <w:proofErr w:type="gramEnd"/>
      <w:r>
        <w:rPr>
          <w:rFonts w:ascii="Times New Roman" w:eastAsia="Times New Roman" w:hAnsi="Times New Roman" w:cs="Times New Roman"/>
          <w:color w:val="000000"/>
        </w:rPr>
        <w:t xml:space="preserve"> structure : organique, horizontale, flexible et peu formalisée;</w:t>
      </w:r>
    </w:p>
    <w:p w:rsidR="00A16E8A" w:rsidRDefault="00A16E8A" w:rsidP="00A16E8A">
      <w:pPr>
        <w:widowControl/>
        <w:numPr>
          <w:ilvl w:val="0"/>
          <w:numId w:val="1"/>
        </w:numPr>
        <w:autoSpaceDE/>
        <w:autoSpaceDN/>
        <w:jc w:val="both"/>
        <w:textAlignment w:val="baseline"/>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la</w:t>
      </w:r>
      <w:proofErr w:type="gramEnd"/>
      <w:r>
        <w:rPr>
          <w:rFonts w:ascii="Times New Roman" w:eastAsia="Times New Roman" w:hAnsi="Times New Roman" w:cs="Times New Roman"/>
          <w:color w:val="000000"/>
        </w:rPr>
        <w:t xml:space="preserve"> culture : risque, responsabilisation, créativité, tolérance de l’échec et erreur;</w:t>
      </w:r>
    </w:p>
    <w:p w:rsidR="00A16E8A" w:rsidRDefault="00A16E8A" w:rsidP="00A16E8A">
      <w:pPr>
        <w:widowControl/>
        <w:numPr>
          <w:ilvl w:val="0"/>
          <w:numId w:val="1"/>
        </w:numPr>
        <w:autoSpaceDE/>
        <w:autoSpaceDN/>
        <w:jc w:val="both"/>
        <w:textAlignment w:val="baseline"/>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et</w:t>
      </w:r>
      <w:proofErr w:type="gramEnd"/>
      <w:r>
        <w:rPr>
          <w:rFonts w:ascii="Times New Roman" w:eastAsia="Times New Roman" w:hAnsi="Times New Roman" w:cs="Times New Roman"/>
          <w:color w:val="000000"/>
        </w:rPr>
        <w:t xml:space="preserve"> le contrôle : peu de contrôles formels. </w:t>
      </w:r>
    </w:p>
    <w:p w:rsidR="00A16E8A" w:rsidRDefault="00A16E8A" w:rsidP="00A16E8A">
      <w:pPr>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L’originalité de notre travail repose sur sa confrontation à une organisation de contraste : une structure communautaire, marquée entre autres par la pauvreté et l’obéissance. Notre projet est donc d’enrichir le </w:t>
      </w:r>
      <w:r>
        <w:rPr>
          <w:rFonts w:ascii="Times New Roman" w:eastAsia="Times New Roman" w:hAnsi="Times New Roman" w:cs="Times New Roman"/>
          <w:color w:val="000000"/>
        </w:rPr>
        <w:lastRenderedPageBreak/>
        <w:t>modèle à partir de l’observation des pratiques d’une organisation religieuse.</w:t>
      </w:r>
    </w:p>
    <w:tbl>
      <w:tblPr>
        <w:tblW w:w="9026" w:type="dxa"/>
        <w:tblLook w:val="04A0" w:firstRow="1" w:lastRow="0" w:firstColumn="1" w:lastColumn="0" w:noHBand="0" w:noVBand="1"/>
      </w:tblPr>
      <w:tblGrid>
        <w:gridCol w:w="9026"/>
      </w:tblGrid>
      <w:tr w:rsidR="00A16E8A" w:rsidTr="00A16E8A">
        <w:tc>
          <w:tcPr>
            <w:tcW w:w="0" w:type="auto"/>
            <w:tcMar>
              <w:top w:w="100" w:type="dxa"/>
              <w:left w:w="100" w:type="dxa"/>
              <w:bottom w:w="100" w:type="dxa"/>
              <w:right w:w="100" w:type="dxa"/>
            </w:tcMar>
          </w:tcPr>
          <w:p w:rsidR="00A16E8A" w:rsidRDefault="00A16E8A">
            <w:pPr>
              <w:jc w:val="both"/>
              <w:rPr>
                <w:rFonts w:ascii="Times New Roman" w:eastAsia="Times New Roman" w:hAnsi="Times New Roman" w:cs="Times New Roman"/>
                <w:color w:val="000000"/>
              </w:rPr>
            </w:pPr>
            <w:r>
              <w:rPr>
                <w:rFonts w:ascii="Times New Roman" w:eastAsia="Times New Roman" w:hAnsi="Times New Roman" w:cs="Times New Roman"/>
                <w:sz w:val="24"/>
                <w:szCs w:val="24"/>
              </w:rPr>
              <w:br/>
            </w:r>
            <w:r>
              <w:rPr>
                <w:rFonts w:ascii="Times New Roman" w:eastAsia="Times New Roman" w:hAnsi="Times New Roman" w:cs="Times New Roman"/>
                <w:color w:val="000000"/>
                <w:sz w:val="24"/>
              </w:rPr>
              <w:t>MÉTHODOLOGIE</w:t>
            </w:r>
          </w:p>
          <w:p w:rsidR="00A16E8A" w:rsidRDefault="00A16E8A">
            <w:pPr>
              <w:rPr>
                <w:rFonts w:ascii="Times New Roman" w:eastAsia="Times New Roman" w:hAnsi="Times New Roman" w:cs="Times New Roman"/>
                <w:sz w:val="24"/>
                <w:szCs w:val="24"/>
              </w:rPr>
            </w:pPr>
          </w:p>
          <w:p w:rsidR="00A16E8A" w:rsidRDefault="00A16E8A">
            <w:pPr>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Nous nous situons dans une perspective constructiviste et souhaitons faire émerger des connaissances actionnables (Le </w:t>
            </w:r>
            <w:proofErr w:type="spellStart"/>
            <w:r>
              <w:rPr>
                <w:rFonts w:ascii="Times New Roman" w:eastAsia="Times New Roman" w:hAnsi="Times New Roman" w:cs="Times New Roman"/>
                <w:color w:val="000000"/>
              </w:rPr>
              <w:t>Moigne</w:t>
            </w:r>
            <w:proofErr w:type="spellEnd"/>
            <w:r>
              <w:rPr>
                <w:rFonts w:ascii="Times New Roman" w:eastAsia="Times New Roman" w:hAnsi="Times New Roman" w:cs="Times New Roman"/>
                <w:color w:val="000000"/>
              </w:rPr>
              <w:t>, 2010) par les pratiques des acteurs. Une étude de cas (Yin, 2003) est choisie pour saisir les spécificités de notre terrain. Notre démarche, très ethnographique, a nécessité de nombreuses séances d’observations ainsi que plusieurs immersions dans un couvent, pour comprendre la spécificité de l’ordre et sa pratique, l’imprégnation des phénomènes observés. Des entretiens</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rPr>
              <w:t>semi-directifs ont été menés auprès des responsables successifs de RDV, du Prieur du couvent de Lille et du Père Maître des étudiants, des bénévoles et du Directeur Général actuel. Ils ont fait l’objet d’une analyse manuelle avec codification selon les quatre dimensions du cadre d’analyse. Une seconde lecture a permis de faire émerger d’autres codes relevant d’une nouvelle dimension identifiée dans les données. Des sources secondaires ont été mobilisées pour enrichir notre compréhension.</w:t>
            </w:r>
          </w:p>
        </w:tc>
      </w:tr>
    </w:tbl>
    <w:p w:rsidR="00A16E8A" w:rsidRDefault="00A16E8A" w:rsidP="00A16E8A">
      <w:pPr>
        <w:spacing w:after="240"/>
        <w:rPr>
          <w:rFonts w:ascii="Times New Roman" w:eastAsia="Times New Roman" w:hAnsi="Times New Roman" w:cs="Times New Roman"/>
          <w:szCs w:val="24"/>
        </w:rPr>
      </w:pP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8"/>
        </w:rPr>
        <w:t>LE CAS : L’EXPÉRIENCE « RETRAITE DANS LA VILLE » (RDV)</w:t>
      </w:r>
    </w:p>
    <w:p w:rsidR="00A16E8A" w:rsidRDefault="00A16E8A" w:rsidP="00A16E8A">
      <w:pPr>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Nous retraçons rapidement l’historique de « Retraite dans la ville », afin de relater comment l’initiative de quelques étudiants est devenue aujourd’hui une organisation autonome. Nous poursuivons par une analyse des leviers </w:t>
      </w:r>
      <w:proofErr w:type="spellStart"/>
      <w:r>
        <w:rPr>
          <w:rFonts w:ascii="Times New Roman" w:eastAsia="Times New Roman" w:hAnsi="Times New Roman" w:cs="Times New Roman"/>
          <w:color w:val="000000"/>
        </w:rPr>
        <w:t>intrapreneuriaux</w:t>
      </w:r>
      <w:proofErr w:type="spellEnd"/>
      <w:r>
        <w:rPr>
          <w:rFonts w:ascii="Times New Roman" w:eastAsia="Times New Roman" w:hAnsi="Times New Roman" w:cs="Times New Roman"/>
          <w:color w:val="000000"/>
        </w:rPr>
        <w:t xml:space="preserve"> observés. Ainsi la dynamique d’innovation chez les dominicains repose sur : 1) la structure : la force du binôme ; 2) la culture : une liberté partagée ; 3) le management des ressources humaines : intégrer une communauté ; 4) le contrôle : le discernement de la communauté </w:t>
      </w:r>
      <w:r>
        <w:rPr>
          <w:rFonts w:ascii="Times New Roman" w:eastAsia="Times New Roman" w:hAnsi="Times New Roman" w:cs="Times New Roman"/>
          <w:b/>
          <w:bCs/>
          <w:iCs/>
          <w:color w:val="000000"/>
        </w:rPr>
        <w:t xml:space="preserve">; </w:t>
      </w:r>
      <w:r>
        <w:rPr>
          <w:rFonts w:ascii="Times New Roman" w:eastAsia="Times New Roman" w:hAnsi="Times New Roman" w:cs="Times New Roman"/>
          <w:bCs/>
          <w:iCs/>
          <w:color w:val="000000"/>
        </w:rPr>
        <w:t>5) nous identifions un</w:t>
      </w:r>
      <w:r>
        <w:rPr>
          <w:rFonts w:ascii="Times New Roman" w:eastAsia="Times New Roman" w:hAnsi="Times New Roman" w:cs="Times New Roman"/>
          <w:b/>
          <w:bCs/>
          <w:iCs/>
          <w:color w:val="000000"/>
        </w:rPr>
        <w:t xml:space="preserve"> </w:t>
      </w:r>
      <w:r>
        <w:rPr>
          <w:rFonts w:ascii="Times New Roman" w:eastAsia="Times New Roman" w:hAnsi="Times New Roman" w:cs="Times New Roman"/>
          <w:color w:val="000000"/>
        </w:rPr>
        <w:t xml:space="preserve">5ème levier : la présence à l’autre. Cette plongée dans une communauté nous montre une organisation structurée par un rapport à l’autre très singulier, basé sur le choix de principes vécus. Ceci donne à chaque levier une coloration particulière, mais au fil de l’analyse des </w:t>
      </w:r>
      <w:proofErr w:type="spellStart"/>
      <w:r>
        <w:rPr>
          <w:rFonts w:ascii="Times New Roman" w:eastAsia="Times New Roman" w:hAnsi="Times New Roman" w:cs="Times New Roman"/>
          <w:color w:val="000000"/>
        </w:rPr>
        <w:t>verbatims</w:t>
      </w:r>
      <w:proofErr w:type="spellEnd"/>
      <w:r>
        <w:rPr>
          <w:rFonts w:ascii="Times New Roman" w:eastAsia="Times New Roman" w:hAnsi="Times New Roman" w:cs="Times New Roman"/>
          <w:color w:val="000000"/>
        </w:rPr>
        <w:t>, il nous a semblé que la différence était suffisamment structurelle pour révéler une dimension en soi. Ce levier s’apparente à la parole incarnée, à une qualité de présence qui relève à la fois de l’écoute et de l’attention portée à l’autre, autant que de la confiance qu’accorde la communauté à ses membres. La parole vraie se construit ensemble et se doit d’être incarnée, présente au monde sensible. </w:t>
      </w:r>
    </w:p>
    <w:p w:rsidR="00A16E8A" w:rsidRDefault="00A16E8A" w:rsidP="00A16E8A">
      <w:pPr>
        <w:jc w:val="both"/>
        <w:rPr>
          <w:rFonts w:ascii="Times New Roman" w:eastAsia="Times New Roman" w:hAnsi="Times New Roman" w:cs="Times New Roman"/>
          <w:sz w:val="24"/>
          <w:szCs w:val="24"/>
        </w:rPr>
      </w:pPr>
      <w:r>
        <w:rPr>
          <w:rFonts w:ascii="Arial" w:eastAsia="Times New Roman" w:hAnsi="Arial" w:cs="Arial"/>
          <w:color w:val="000000"/>
        </w:rPr>
        <w:t xml:space="preserve">    </w:t>
      </w:r>
    </w:p>
    <w:p w:rsidR="00A16E8A" w:rsidRDefault="00A16E8A" w:rsidP="00A16E8A">
      <w:pPr>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DISCUSSION </w:t>
      </w:r>
    </w:p>
    <w:p w:rsidR="00A16E8A" w:rsidRDefault="00A16E8A" w:rsidP="00A16E8A">
      <w:pPr>
        <w:jc w:val="both"/>
        <w:rPr>
          <w:rFonts w:ascii="Times New Roman" w:eastAsia="Times New Roman" w:hAnsi="Times New Roman" w:cs="Times New Roman"/>
          <w:szCs w:val="24"/>
        </w:rPr>
      </w:pPr>
    </w:p>
    <w:p w:rsidR="00A16E8A" w:rsidRDefault="00A16E8A" w:rsidP="00A16E8A">
      <w:pPr>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Au terme de cette étude, comment considérer que l’expérience RDV soit illustratrice d’une démarche </w:t>
      </w:r>
      <w:proofErr w:type="spellStart"/>
      <w:r>
        <w:rPr>
          <w:rFonts w:ascii="Times New Roman" w:eastAsia="Times New Roman" w:hAnsi="Times New Roman" w:cs="Times New Roman"/>
          <w:color w:val="000000"/>
        </w:rPr>
        <w:t>intrapreneuriale</w:t>
      </w:r>
      <w:proofErr w:type="spellEnd"/>
      <w:r>
        <w:rPr>
          <w:rFonts w:ascii="Times New Roman" w:eastAsia="Times New Roman" w:hAnsi="Times New Roman" w:cs="Times New Roman"/>
          <w:color w:val="000000"/>
        </w:rPr>
        <w:t>, appliquée dans un contexte communautaire ? </w:t>
      </w:r>
    </w:p>
    <w:p w:rsidR="00A16E8A" w:rsidRDefault="00A16E8A" w:rsidP="00A16E8A">
      <w:pPr>
        <w:rPr>
          <w:rFonts w:ascii="Times New Roman" w:eastAsia="Times New Roman" w:hAnsi="Times New Roman" w:cs="Times New Roman"/>
          <w:sz w:val="24"/>
          <w:szCs w:val="24"/>
        </w:rPr>
      </w:pPr>
    </w:p>
    <w:p w:rsidR="00A16E8A" w:rsidRDefault="00A16E8A" w:rsidP="00A16E8A">
      <w:pPr>
        <w:jc w:val="both"/>
        <w:rPr>
          <w:rFonts w:ascii="Times New Roman" w:eastAsia="Times New Roman" w:hAnsi="Times New Roman" w:cs="Times New Roman"/>
          <w:sz w:val="24"/>
          <w:szCs w:val="24"/>
        </w:rPr>
      </w:pPr>
      <w:r>
        <w:rPr>
          <w:rFonts w:ascii="Times New Roman" w:eastAsia="Times New Roman" w:hAnsi="Times New Roman" w:cs="Times New Roman"/>
          <w:color w:val="000000"/>
        </w:rPr>
        <w:t>Ce travail contribue à faire avancer les connaissances en sciences de gestion dans plusieurs domaines. </w:t>
      </w:r>
    </w:p>
    <w:p w:rsidR="00A16E8A" w:rsidRDefault="00A16E8A" w:rsidP="00A16E8A">
      <w:pPr>
        <w:jc w:val="both"/>
        <w:rPr>
          <w:rFonts w:ascii="Times New Roman" w:eastAsia="Times New Roman" w:hAnsi="Times New Roman" w:cs="Times New Roman"/>
          <w:sz w:val="24"/>
          <w:szCs w:val="24"/>
        </w:rPr>
      </w:pPr>
      <w:r>
        <w:rPr>
          <w:rFonts w:ascii="Times New Roman" w:eastAsia="Times New Roman" w:hAnsi="Times New Roman" w:cs="Times New Roman"/>
          <w:color w:val="000000"/>
        </w:rPr>
        <w:t>Au niveau théorique, en combinant les logiques de l’</w:t>
      </w:r>
      <w:proofErr w:type="spellStart"/>
      <w:r>
        <w:rPr>
          <w:rFonts w:ascii="Times New Roman" w:eastAsia="Times New Roman" w:hAnsi="Times New Roman" w:cs="Times New Roman"/>
          <w:color w:val="000000"/>
        </w:rPr>
        <w:t>intrapreneuriat</w:t>
      </w:r>
      <w:proofErr w:type="spellEnd"/>
      <w:r>
        <w:rPr>
          <w:rFonts w:ascii="Times New Roman" w:eastAsia="Times New Roman" w:hAnsi="Times New Roman" w:cs="Times New Roman"/>
          <w:color w:val="000000"/>
        </w:rPr>
        <w:t xml:space="preserve"> et de la communauté, notre étude réunit deux pans de la littérature jusqu’alors peu connectés. Par l’introduction d’une 5ème dimension, nous enrichissons le modèle d’Ireland et al (2006).</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rPr>
        <w:t>Cette approche de l’</w:t>
      </w:r>
      <w:proofErr w:type="spellStart"/>
      <w:r>
        <w:rPr>
          <w:rFonts w:ascii="Times New Roman" w:eastAsia="Times New Roman" w:hAnsi="Times New Roman" w:cs="Times New Roman"/>
          <w:color w:val="000000"/>
        </w:rPr>
        <w:t>intrapreneuriat</w:t>
      </w:r>
      <w:proofErr w:type="spellEnd"/>
      <w:r>
        <w:rPr>
          <w:rFonts w:ascii="Times New Roman" w:eastAsia="Times New Roman" w:hAnsi="Times New Roman" w:cs="Times New Roman"/>
          <w:color w:val="000000"/>
        </w:rPr>
        <w:t xml:space="preserve"> diffère en plusieurs points de l’approche </w:t>
      </w:r>
      <w:proofErr w:type="spellStart"/>
      <w:r>
        <w:rPr>
          <w:rFonts w:ascii="Times New Roman" w:eastAsia="Times New Roman" w:hAnsi="Times New Roman" w:cs="Times New Roman"/>
          <w:color w:val="000000"/>
        </w:rPr>
        <w:t>intrapreneuriale</w:t>
      </w:r>
      <w:proofErr w:type="spellEnd"/>
      <w:r>
        <w:rPr>
          <w:rFonts w:ascii="Times New Roman" w:eastAsia="Times New Roman" w:hAnsi="Times New Roman" w:cs="Times New Roman"/>
          <w:color w:val="000000"/>
        </w:rPr>
        <w:t xml:space="preserve"> classique. Nous rejoignons ainsi les travaux qui soulignent l’effet positif de la coopération sur l’</w:t>
      </w:r>
      <w:proofErr w:type="spellStart"/>
      <w:r>
        <w:rPr>
          <w:rFonts w:ascii="Times New Roman" w:eastAsia="Times New Roman" w:hAnsi="Times New Roman" w:cs="Times New Roman"/>
          <w:color w:val="000000"/>
        </w:rPr>
        <w:t>intrapreneuriat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Wunderer</w:t>
      </w:r>
      <w:proofErr w:type="spellEnd"/>
      <w:r>
        <w:rPr>
          <w:rFonts w:ascii="Times New Roman" w:eastAsia="Times New Roman" w:hAnsi="Times New Roman" w:cs="Times New Roman"/>
          <w:color w:val="000000"/>
        </w:rPr>
        <w:t xml:space="preserve"> 2001). </w:t>
      </w:r>
    </w:p>
    <w:p w:rsidR="00A16E8A" w:rsidRDefault="00A16E8A" w:rsidP="00A16E8A">
      <w:pPr>
        <w:jc w:val="both"/>
        <w:rPr>
          <w:rFonts w:ascii="Times New Roman" w:eastAsia="Times New Roman" w:hAnsi="Times New Roman" w:cs="Times New Roman"/>
          <w:sz w:val="24"/>
          <w:szCs w:val="24"/>
        </w:rPr>
      </w:pPr>
      <w:r>
        <w:rPr>
          <w:rFonts w:ascii="Times New Roman" w:eastAsia="Times New Roman" w:hAnsi="Times New Roman" w:cs="Times New Roman"/>
          <w:color w:val="000000"/>
        </w:rPr>
        <w:t>Fondamentalement, nous proposons d’envisager l’</w:t>
      </w:r>
      <w:proofErr w:type="spellStart"/>
      <w:r>
        <w:rPr>
          <w:rFonts w:ascii="Times New Roman" w:eastAsia="Times New Roman" w:hAnsi="Times New Roman" w:cs="Times New Roman"/>
          <w:color w:val="000000"/>
        </w:rPr>
        <w:t>intrapreneuriat</w:t>
      </w:r>
      <w:proofErr w:type="spellEnd"/>
      <w:r>
        <w:rPr>
          <w:rFonts w:ascii="Times New Roman" w:eastAsia="Times New Roman" w:hAnsi="Times New Roman" w:cs="Times New Roman"/>
          <w:color w:val="000000"/>
        </w:rPr>
        <w:t xml:space="preserve"> selon un autre paradigme que celui de la création de valeur, pour y voir une question de dignité humaine. Nous mettons ainsi en lumière un paradigme de l’</w:t>
      </w:r>
      <w:proofErr w:type="spellStart"/>
      <w:r>
        <w:rPr>
          <w:rFonts w:ascii="Times New Roman" w:eastAsia="Times New Roman" w:hAnsi="Times New Roman" w:cs="Times New Roman"/>
          <w:color w:val="000000"/>
        </w:rPr>
        <w:t>intrapreneuriat</w:t>
      </w:r>
      <w:proofErr w:type="spellEnd"/>
      <w:r>
        <w:rPr>
          <w:rFonts w:ascii="Times New Roman" w:eastAsia="Times New Roman" w:hAnsi="Times New Roman" w:cs="Times New Roman"/>
          <w:color w:val="000000"/>
        </w:rPr>
        <w:t xml:space="preserve"> en contexte communautaire, marqué par une logique de don ; il s’agit moins d’innover que d’apporter sa contribution propre, quel qu’en soit le résultat. L’</w:t>
      </w:r>
      <w:proofErr w:type="spellStart"/>
      <w:r>
        <w:rPr>
          <w:rFonts w:ascii="Times New Roman" w:eastAsia="Times New Roman" w:hAnsi="Times New Roman" w:cs="Times New Roman"/>
          <w:color w:val="000000"/>
        </w:rPr>
        <w:t>intrapreneuriat</w:t>
      </w:r>
      <w:proofErr w:type="spellEnd"/>
      <w:r>
        <w:rPr>
          <w:rFonts w:ascii="Times New Roman" w:eastAsia="Times New Roman" w:hAnsi="Times New Roman" w:cs="Times New Roman"/>
          <w:color w:val="000000"/>
        </w:rPr>
        <w:t>, souvent incarné par un innovateur, laisse place ici à un collectif lié par une exigence de vérité.</w:t>
      </w:r>
    </w:p>
    <w:p w:rsidR="00A16E8A" w:rsidRDefault="00A16E8A" w:rsidP="00A16E8A">
      <w:pPr>
        <w:rPr>
          <w:rFonts w:ascii="Times New Roman" w:eastAsia="Times New Roman" w:hAnsi="Times New Roman" w:cs="Times New Roman"/>
          <w:sz w:val="24"/>
          <w:szCs w:val="24"/>
        </w:rPr>
      </w:pPr>
    </w:p>
    <w:p w:rsidR="00A16E8A" w:rsidRDefault="00A16E8A" w:rsidP="00A16E8A">
      <w:pPr>
        <w:pStyle w:val="NormalWeb"/>
        <w:spacing w:before="0" w:beforeAutospacing="0" w:after="0" w:afterAutospacing="0"/>
        <w:jc w:val="both"/>
        <w:rPr>
          <w:color w:val="000000"/>
          <w:sz w:val="22"/>
          <w:szCs w:val="22"/>
        </w:rPr>
      </w:pPr>
      <w:r>
        <w:rPr>
          <w:color w:val="000000"/>
          <w:sz w:val="22"/>
          <w:szCs w:val="22"/>
        </w:rPr>
        <w:t xml:space="preserve">Cette réflexion peut ainsi inspirer tant les organisations dites classiques que celles qui se revendiquent d’une certaine alternative, qu’elles se présentent comme communs, collaboratives ou de l’économie sociale et solidaire. En effet la notion de communauté a très largement influencé tout un pan des organisations, celles dites globalement de l’économie sociale et solidaire. Henri Desroche, l’auteur du </w:t>
      </w:r>
      <w:r>
        <w:rPr>
          <w:color w:val="000000"/>
          <w:sz w:val="22"/>
          <w:szCs w:val="22"/>
        </w:rPr>
        <w:lastRenderedPageBreak/>
        <w:t xml:space="preserve">Projet coopératif (1976), n’est autre qu’un ancien Dominicain. Il souligne que les communautés religieuses entretiennent un rapport de contestation avec la société et proposent l’incarnation d’une société alternative, portées par la force motrice de l’utopie et de l’espérance. Et par un phénomène de sécularisation des millénarismes, les utopies communautaires ont donné naissance aux organisations coopératives. Nous pouvons voir dans le cas étudié une manifestation de la fécondité </w:t>
      </w:r>
      <w:proofErr w:type="spellStart"/>
      <w:r>
        <w:rPr>
          <w:color w:val="000000"/>
          <w:sz w:val="22"/>
          <w:szCs w:val="22"/>
        </w:rPr>
        <w:t>intrapreneuriale</w:t>
      </w:r>
      <w:proofErr w:type="spellEnd"/>
      <w:r>
        <w:rPr>
          <w:color w:val="000000"/>
          <w:sz w:val="22"/>
          <w:szCs w:val="22"/>
        </w:rPr>
        <w:t xml:space="preserve"> de l’espérance, un </w:t>
      </w:r>
      <w:proofErr w:type="spellStart"/>
      <w:r>
        <w:rPr>
          <w:color w:val="000000"/>
          <w:sz w:val="22"/>
          <w:szCs w:val="22"/>
        </w:rPr>
        <w:t>intrapreneuriat</w:t>
      </w:r>
      <w:proofErr w:type="spellEnd"/>
      <w:r>
        <w:rPr>
          <w:color w:val="000000"/>
          <w:sz w:val="22"/>
          <w:szCs w:val="22"/>
        </w:rPr>
        <w:t xml:space="preserve"> qui serait l’incarnation d’une retombée d’utopie.</w:t>
      </w:r>
    </w:p>
    <w:p w:rsidR="00A16E8A" w:rsidRDefault="00A16E8A" w:rsidP="00A16E8A">
      <w:pPr>
        <w:jc w:val="both"/>
        <w:rPr>
          <w:rFonts w:ascii="Times New Roman" w:eastAsia="Times New Roman" w:hAnsi="Times New Roman" w:cs="Times New Roman"/>
          <w:color w:val="000000"/>
        </w:rPr>
      </w:pPr>
    </w:p>
    <w:p w:rsidR="00A16E8A" w:rsidRDefault="00A16E8A" w:rsidP="00A16E8A">
      <w:pPr>
        <w:rPr>
          <w:rFonts w:ascii="Times New Roman" w:eastAsia="Times New Roman" w:hAnsi="Times New Roman" w:cs="Times New Roman"/>
          <w:sz w:val="24"/>
          <w:szCs w:val="24"/>
        </w:rPr>
      </w:pPr>
    </w:p>
    <w:p w:rsidR="00A16E8A" w:rsidRDefault="00A16E8A" w:rsidP="00A16E8A">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Conclusion</w:t>
      </w:r>
    </w:p>
    <w:p w:rsidR="00A16E8A" w:rsidRDefault="00A16E8A" w:rsidP="00A16E8A">
      <w:pPr>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Nous avons utilisé le modèle de Ireland et al. </w:t>
      </w:r>
      <w:proofErr w:type="gramStart"/>
      <w:r>
        <w:rPr>
          <w:rFonts w:ascii="Times New Roman" w:eastAsia="Times New Roman" w:hAnsi="Times New Roman" w:cs="Times New Roman"/>
          <w:color w:val="000000"/>
        </w:rPr>
        <w:t>pour</w:t>
      </w:r>
      <w:proofErr w:type="gramEnd"/>
      <w:r>
        <w:rPr>
          <w:rFonts w:ascii="Times New Roman" w:eastAsia="Times New Roman" w:hAnsi="Times New Roman" w:cs="Times New Roman"/>
          <w:color w:val="000000"/>
        </w:rPr>
        <w:t xml:space="preserve"> analyser l’</w:t>
      </w:r>
      <w:proofErr w:type="spellStart"/>
      <w:r>
        <w:rPr>
          <w:rFonts w:ascii="Times New Roman" w:eastAsia="Times New Roman" w:hAnsi="Times New Roman" w:cs="Times New Roman"/>
          <w:color w:val="000000"/>
        </w:rPr>
        <w:t>intrapreneuriat</w:t>
      </w:r>
      <w:proofErr w:type="spellEnd"/>
      <w:r>
        <w:rPr>
          <w:rFonts w:ascii="Times New Roman" w:eastAsia="Times New Roman" w:hAnsi="Times New Roman" w:cs="Times New Roman"/>
          <w:color w:val="000000"/>
        </w:rPr>
        <w:t xml:space="preserve"> chez les Dominicains.  L’application à un contexte nouveau a permis d’enrichir ce modèle de référence en identifiant un 5ème levier propre à l’organisation communautaire : celui de la présence. Notre terrain constitue un cas de contraste qui, à bien des égards, peut être une source d’inspiration pour de nombreuses organisations. Au final, notre travail contribue à mettre en lumière un autre paradigme de l’</w:t>
      </w:r>
      <w:proofErr w:type="spellStart"/>
      <w:r>
        <w:rPr>
          <w:rFonts w:ascii="Times New Roman" w:eastAsia="Times New Roman" w:hAnsi="Times New Roman" w:cs="Times New Roman"/>
          <w:color w:val="000000"/>
        </w:rPr>
        <w:t>intrapreneuriat</w:t>
      </w:r>
      <w:proofErr w:type="spellEnd"/>
      <w:r>
        <w:rPr>
          <w:rFonts w:ascii="Times New Roman" w:eastAsia="Times New Roman" w:hAnsi="Times New Roman" w:cs="Times New Roman"/>
          <w:color w:val="000000"/>
        </w:rPr>
        <w:t xml:space="preserve">, fondé sur une logique de don et dignité humaine. </w:t>
      </w:r>
    </w:p>
    <w:p w:rsidR="00A16E8A" w:rsidRDefault="00A16E8A" w:rsidP="00A16E8A">
      <w:pPr>
        <w:spacing w:after="240"/>
        <w:rPr>
          <w:rFonts w:ascii="Times New Roman" w:eastAsia="Times New Roman" w:hAnsi="Times New Roman" w:cs="Times New Roman"/>
          <w:sz w:val="32"/>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color w:val="000000"/>
          <w:sz w:val="28"/>
        </w:rPr>
        <w:t>Bibliographie indicative</w:t>
      </w:r>
    </w:p>
    <w:p w:rsidR="00A16E8A" w:rsidRDefault="00A16E8A" w:rsidP="00A16E8A">
      <w:pPr>
        <w:jc w:val="both"/>
        <w:rPr>
          <w:rFonts w:ascii="Times New Roman" w:eastAsia="Times New Roman" w:hAnsi="Times New Roman" w:cs="Times New Roman"/>
          <w:sz w:val="24"/>
          <w:szCs w:val="24"/>
        </w:rPr>
      </w:pPr>
      <w:r>
        <w:rPr>
          <w:rFonts w:ascii="Times New Roman" w:eastAsia="Times New Roman" w:hAnsi="Times New Roman" w:cs="Times New Roman"/>
          <w:color w:val="000000"/>
        </w:rPr>
        <w:t>Desroche, H. (1976). Le projet coopératif, Les éditions ouvrières, Paris.</w:t>
      </w:r>
    </w:p>
    <w:p w:rsidR="00A16E8A" w:rsidRPr="00A16E8A" w:rsidRDefault="00A16E8A" w:rsidP="00A16E8A">
      <w:pPr>
        <w:jc w:val="both"/>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color w:val="000000"/>
        </w:rPr>
        <w:t>Drakopoulou</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Dodd</w:t>
      </w:r>
      <w:proofErr w:type="spellEnd"/>
      <w:r>
        <w:rPr>
          <w:rFonts w:ascii="Times New Roman" w:eastAsia="Times New Roman" w:hAnsi="Times New Roman" w:cs="Times New Roman"/>
          <w:color w:val="000000"/>
        </w:rPr>
        <w:t xml:space="preserve">, S. &amp; </w:t>
      </w:r>
      <w:proofErr w:type="spellStart"/>
      <w:r>
        <w:rPr>
          <w:rFonts w:ascii="Times New Roman" w:eastAsia="Times New Roman" w:hAnsi="Times New Roman" w:cs="Times New Roman"/>
          <w:color w:val="000000"/>
        </w:rPr>
        <w:t>Seaman</w:t>
      </w:r>
      <w:proofErr w:type="spellEnd"/>
      <w:r>
        <w:rPr>
          <w:rFonts w:ascii="Times New Roman" w:eastAsia="Times New Roman" w:hAnsi="Times New Roman" w:cs="Times New Roman"/>
          <w:color w:val="000000"/>
        </w:rPr>
        <w:t xml:space="preserve">, P.T. (1998). </w:t>
      </w:r>
      <w:r w:rsidRPr="00A16E8A">
        <w:rPr>
          <w:rFonts w:ascii="Times New Roman" w:eastAsia="Times New Roman" w:hAnsi="Times New Roman" w:cs="Times New Roman"/>
          <w:color w:val="000000"/>
          <w:lang w:val="en-GB"/>
        </w:rPr>
        <w:t>« Religion and enterprise: An introductory exploration»,</w:t>
      </w:r>
      <w:r w:rsidRPr="00A16E8A">
        <w:rPr>
          <w:rFonts w:ascii="Times New Roman" w:eastAsia="Times New Roman" w:hAnsi="Times New Roman" w:cs="Times New Roman"/>
          <w:i/>
          <w:iCs/>
          <w:color w:val="000000"/>
          <w:lang w:val="en-GB"/>
        </w:rPr>
        <w:t xml:space="preserve"> Entrepreneurship: Theory &amp; Practice</w:t>
      </w:r>
      <w:r w:rsidRPr="00A16E8A">
        <w:rPr>
          <w:rFonts w:ascii="Times New Roman" w:eastAsia="Times New Roman" w:hAnsi="Times New Roman" w:cs="Times New Roman"/>
          <w:color w:val="000000"/>
          <w:lang w:val="en-GB"/>
        </w:rPr>
        <w:t>, vol. 23, n° 1, 71–86.</w:t>
      </w:r>
    </w:p>
    <w:p w:rsidR="00A16E8A" w:rsidRDefault="00A16E8A" w:rsidP="00A16E8A">
      <w:pPr>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Gomez, P.-Y. (2009). « </w:t>
      </w:r>
      <w:hyperlink r:id="rId9" w:history="1">
        <w:r>
          <w:rPr>
            <w:rStyle w:val="Lienhypertexte"/>
            <w:rFonts w:ascii="Times New Roman" w:eastAsia="Times New Roman" w:hAnsi="Times New Roman" w:cs="Times New Roman"/>
            <w:color w:val="000000"/>
          </w:rPr>
          <w:t xml:space="preserve">Le Pape et le gestionnaire. Pourquoi il faut lire l'encyclique Caritas in </w:t>
        </w:r>
        <w:proofErr w:type="spellStart"/>
        <w:r>
          <w:rPr>
            <w:rStyle w:val="Lienhypertexte"/>
            <w:rFonts w:ascii="Times New Roman" w:eastAsia="Times New Roman" w:hAnsi="Times New Roman" w:cs="Times New Roman"/>
            <w:color w:val="000000"/>
          </w:rPr>
          <w:t>veritate</w:t>
        </w:r>
        <w:proofErr w:type="spellEnd"/>
      </w:hyperlink>
      <w:r>
        <w:rPr>
          <w:rFonts w:ascii="Times New Roman" w:eastAsia="Times New Roman" w:hAnsi="Times New Roman" w:cs="Times New Roman"/>
          <w:color w:val="000000"/>
        </w:rPr>
        <w:t>»</w:t>
      </w:r>
      <w:hyperlink r:id="rId10" w:history="1">
        <w:r>
          <w:rPr>
            <w:rStyle w:val="Lienhypertexte"/>
            <w:rFonts w:ascii="Times New Roman" w:eastAsia="Times New Roman" w:hAnsi="Times New Roman" w:cs="Times New Roman"/>
            <w:color w:val="000000"/>
          </w:rPr>
          <w:t>,</w:t>
        </w:r>
      </w:hyperlink>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Revue des Sciences de Gestion</w:t>
      </w:r>
      <w:r>
        <w:rPr>
          <w:rFonts w:ascii="Times New Roman" w:eastAsia="Times New Roman" w:hAnsi="Times New Roman" w:cs="Times New Roman"/>
          <w:color w:val="000000"/>
        </w:rPr>
        <w:t>, mai-août, n° 237/238, 1-4. </w:t>
      </w:r>
    </w:p>
    <w:p w:rsidR="00A16E8A" w:rsidRPr="00A16E8A" w:rsidRDefault="00A16E8A" w:rsidP="00A16E8A">
      <w:pPr>
        <w:jc w:val="both"/>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color w:val="000000"/>
        </w:rPr>
        <w:t>Gotsis</w:t>
      </w:r>
      <w:proofErr w:type="spellEnd"/>
      <w:r>
        <w:rPr>
          <w:rFonts w:ascii="Times New Roman" w:eastAsia="Times New Roman" w:hAnsi="Times New Roman" w:cs="Times New Roman"/>
          <w:color w:val="000000"/>
        </w:rPr>
        <w:t xml:space="preserve">, G. et </w:t>
      </w:r>
      <w:proofErr w:type="spellStart"/>
      <w:r>
        <w:rPr>
          <w:rFonts w:ascii="Times New Roman" w:eastAsia="Times New Roman" w:hAnsi="Times New Roman" w:cs="Times New Roman"/>
          <w:color w:val="000000"/>
        </w:rPr>
        <w:t>Kortezi</w:t>
      </w:r>
      <w:proofErr w:type="spellEnd"/>
      <w:r>
        <w:rPr>
          <w:rFonts w:ascii="Times New Roman" w:eastAsia="Times New Roman" w:hAnsi="Times New Roman" w:cs="Times New Roman"/>
          <w:color w:val="000000"/>
        </w:rPr>
        <w:t xml:space="preserve">, Z. (2009). </w:t>
      </w:r>
      <w:r w:rsidRPr="00A16E8A">
        <w:rPr>
          <w:rFonts w:ascii="Times New Roman" w:eastAsia="Times New Roman" w:hAnsi="Times New Roman" w:cs="Times New Roman"/>
          <w:color w:val="000000"/>
          <w:lang w:val="en-GB"/>
        </w:rPr>
        <w:t>« The impact of Greek Orthodoxy on entrepreneurship: a theoretical framework »,</w:t>
      </w:r>
      <w:r w:rsidRPr="00A16E8A">
        <w:rPr>
          <w:rFonts w:ascii="Times New Roman" w:eastAsia="Times New Roman" w:hAnsi="Times New Roman" w:cs="Times New Roman"/>
          <w:i/>
          <w:iCs/>
          <w:color w:val="000000"/>
          <w:lang w:val="en-GB"/>
        </w:rPr>
        <w:t xml:space="preserve"> Journal of Enterprising Communities</w:t>
      </w:r>
      <w:r w:rsidRPr="00A16E8A">
        <w:rPr>
          <w:rFonts w:ascii="Times New Roman" w:eastAsia="Times New Roman" w:hAnsi="Times New Roman" w:cs="Times New Roman"/>
          <w:color w:val="000000"/>
          <w:lang w:val="en-GB"/>
        </w:rPr>
        <w:t>, vol. 3 n° 2, 152-175.</w:t>
      </w:r>
    </w:p>
    <w:p w:rsidR="00A16E8A" w:rsidRPr="00A16E8A" w:rsidRDefault="00A16E8A" w:rsidP="00A16E8A">
      <w:pPr>
        <w:jc w:val="both"/>
        <w:rPr>
          <w:rFonts w:ascii="Times New Roman" w:eastAsia="Times New Roman" w:hAnsi="Times New Roman" w:cs="Times New Roman"/>
          <w:sz w:val="24"/>
          <w:szCs w:val="24"/>
          <w:lang w:val="en-GB"/>
        </w:rPr>
      </w:pPr>
      <w:r w:rsidRPr="00A16E8A">
        <w:rPr>
          <w:rFonts w:ascii="Times New Roman" w:eastAsia="Times New Roman" w:hAnsi="Times New Roman" w:cs="Times New Roman"/>
          <w:color w:val="000000"/>
          <w:lang w:val="en-GB"/>
        </w:rPr>
        <w:t xml:space="preserve">Hornsby J.S., </w:t>
      </w:r>
      <w:proofErr w:type="spellStart"/>
      <w:r w:rsidRPr="00A16E8A">
        <w:rPr>
          <w:rFonts w:ascii="Times New Roman" w:eastAsia="Times New Roman" w:hAnsi="Times New Roman" w:cs="Times New Roman"/>
          <w:color w:val="000000"/>
          <w:lang w:val="en-GB"/>
        </w:rPr>
        <w:t>Naffziger</w:t>
      </w:r>
      <w:proofErr w:type="spellEnd"/>
      <w:r w:rsidRPr="00A16E8A">
        <w:rPr>
          <w:rFonts w:ascii="Times New Roman" w:eastAsia="Times New Roman" w:hAnsi="Times New Roman" w:cs="Times New Roman"/>
          <w:color w:val="000000"/>
          <w:lang w:val="en-GB"/>
        </w:rPr>
        <w:t xml:space="preserve"> D.W., </w:t>
      </w:r>
      <w:proofErr w:type="spellStart"/>
      <w:r w:rsidRPr="00A16E8A">
        <w:rPr>
          <w:rFonts w:ascii="Times New Roman" w:eastAsia="Times New Roman" w:hAnsi="Times New Roman" w:cs="Times New Roman"/>
          <w:color w:val="000000"/>
          <w:lang w:val="en-GB"/>
        </w:rPr>
        <w:t>Kuratko</w:t>
      </w:r>
      <w:proofErr w:type="spellEnd"/>
      <w:r w:rsidRPr="00A16E8A">
        <w:rPr>
          <w:rFonts w:ascii="Times New Roman" w:eastAsia="Times New Roman" w:hAnsi="Times New Roman" w:cs="Times New Roman"/>
          <w:color w:val="000000"/>
          <w:lang w:val="en-GB"/>
        </w:rPr>
        <w:t xml:space="preserve"> D.F., </w:t>
      </w:r>
      <w:proofErr w:type="spellStart"/>
      <w:r w:rsidRPr="00A16E8A">
        <w:rPr>
          <w:rFonts w:ascii="Times New Roman" w:eastAsia="Times New Roman" w:hAnsi="Times New Roman" w:cs="Times New Roman"/>
          <w:color w:val="000000"/>
          <w:lang w:val="en-GB"/>
        </w:rPr>
        <w:t>Montagno</w:t>
      </w:r>
      <w:proofErr w:type="spellEnd"/>
      <w:r w:rsidRPr="00A16E8A">
        <w:rPr>
          <w:rFonts w:ascii="Times New Roman" w:eastAsia="Times New Roman" w:hAnsi="Times New Roman" w:cs="Times New Roman"/>
          <w:color w:val="000000"/>
          <w:lang w:val="en-GB"/>
        </w:rPr>
        <w:t xml:space="preserve"> R.V. (1993). « An interactive model of the corporate entrepreneurship process »,</w:t>
      </w:r>
      <w:r w:rsidRPr="00A16E8A">
        <w:rPr>
          <w:rFonts w:ascii="Times New Roman" w:eastAsia="Times New Roman" w:hAnsi="Times New Roman" w:cs="Times New Roman"/>
          <w:i/>
          <w:iCs/>
          <w:color w:val="000000"/>
          <w:lang w:val="en-GB"/>
        </w:rPr>
        <w:t xml:space="preserve"> </w:t>
      </w:r>
      <w:proofErr w:type="gramStart"/>
      <w:r w:rsidRPr="00A16E8A">
        <w:rPr>
          <w:rFonts w:ascii="Times New Roman" w:eastAsia="Times New Roman" w:hAnsi="Times New Roman" w:cs="Times New Roman"/>
          <w:i/>
          <w:iCs/>
          <w:color w:val="000000"/>
          <w:lang w:val="en-GB"/>
        </w:rPr>
        <w:t>Entrepreneurship :</w:t>
      </w:r>
      <w:proofErr w:type="gramEnd"/>
      <w:r w:rsidRPr="00A16E8A">
        <w:rPr>
          <w:rFonts w:ascii="Times New Roman" w:eastAsia="Times New Roman" w:hAnsi="Times New Roman" w:cs="Times New Roman"/>
          <w:i/>
          <w:iCs/>
          <w:color w:val="000000"/>
          <w:lang w:val="en-GB"/>
        </w:rPr>
        <w:t xml:space="preserve"> Theory and Practice</w:t>
      </w:r>
      <w:r w:rsidRPr="00A16E8A">
        <w:rPr>
          <w:rFonts w:ascii="Times New Roman" w:eastAsia="Times New Roman" w:hAnsi="Times New Roman" w:cs="Times New Roman"/>
          <w:color w:val="000000"/>
          <w:lang w:val="en-GB"/>
        </w:rPr>
        <w:t>, vol. 17, n° 2, 29-37.</w:t>
      </w:r>
    </w:p>
    <w:p w:rsidR="00A16E8A" w:rsidRPr="00A16E8A" w:rsidRDefault="00A16E8A" w:rsidP="00A16E8A">
      <w:pPr>
        <w:jc w:val="both"/>
        <w:rPr>
          <w:rFonts w:ascii="Times New Roman" w:eastAsia="Times New Roman" w:hAnsi="Times New Roman" w:cs="Times New Roman"/>
          <w:sz w:val="24"/>
          <w:szCs w:val="24"/>
          <w:lang w:val="en-GB"/>
        </w:rPr>
      </w:pPr>
      <w:r w:rsidRPr="00A16E8A">
        <w:rPr>
          <w:rFonts w:ascii="Times New Roman" w:eastAsia="Times New Roman" w:hAnsi="Times New Roman" w:cs="Times New Roman"/>
          <w:color w:val="000000"/>
          <w:lang w:val="en-GB"/>
        </w:rPr>
        <w:t xml:space="preserve">Ireland R.D., </w:t>
      </w:r>
      <w:proofErr w:type="spellStart"/>
      <w:r w:rsidRPr="00A16E8A">
        <w:rPr>
          <w:rFonts w:ascii="Times New Roman" w:eastAsia="Times New Roman" w:hAnsi="Times New Roman" w:cs="Times New Roman"/>
          <w:color w:val="000000"/>
          <w:lang w:val="en-GB"/>
        </w:rPr>
        <w:t>Kuratko</w:t>
      </w:r>
      <w:proofErr w:type="spellEnd"/>
      <w:r w:rsidRPr="00A16E8A">
        <w:rPr>
          <w:rFonts w:ascii="Times New Roman" w:eastAsia="Times New Roman" w:hAnsi="Times New Roman" w:cs="Times New Roman"/>
          <w:color w:val="000000"/>
          <w:lang w:val="en-GB"/>
        </w:rPr>
        <w:t xml:space="preserve"> D.F., Morris M.H. (2006). « A heath audit for Corporate Entrepreneurship: innovation at all levels: part I »,</w:t>
      </w:r>
      <w:r w:rsidRPr="00A16E8A">
        <w:rPr>
          <w:rFonts w:ascii="Times New Roman" w:eastAsia="Times New Roman" w:hAnsi="Times New Roman" w:cs="Times New Roman"/>
          <w:i/>
          <w:iCs/>
          <w:color w:val="000000"/>
          <w:lang w:val="en-GB"/>
        </w:rPr>
        <w:t xml:space="preserve"> Journal of Business Strategy</w:t>
      </w:r>
      <w:r w:rsidRPr="00A16E8A">
        <w:rPr>
          <w:rFonts w:ascii="Times New Roman" w:eastAsia="Times New Roman" w:hAnsi="Times New Roman" w:cs="Times New Roman"/>
          <w:color w:val="000000"/>
          <w:lang w:val="en-GB"/>
        </w:rPr>
        <w:t>, vol. 27, n° 1, 10 – 17.</w:t>
      </w:r>
    </w:p>
    <w:p w:rsidR="00A16E8A" w:rsidRPr="00A16E8A" w:rsidRDefault="00A16E8A" w:rsidP="00A16E8A">
      <w:pPr>
        <w:jc w:val="both"/>
        <w:rPr>
          <w:rFonts w:ascii="Times New Roman" w:eastAsia="Times New Roman" w:hAnsi="Times New Roman" w:cs="Times New Roman"/>
          <w:sz w:val="24"/>
          <w:szCs w:val="24"/>
          <w:lang w:val="en-GB"/>
        </w:rPr>
      </w:pPr>
      <w:proofErr w:type="spellStart"/>
      <w:r w:rsidRPr="00A16E8A">
        <w:rPr>
          <w:rFonts w:ascii="Times New Roman" w:eastAsia="Times New Roman" w:hAnsi="Times New Roman" w:cs="Times New Roman"/>
          <w:color w:val="000000"/>
          <w:lang w:val="en-GB"/>
        </w:rPr>
        <w:t>Kuratko</w:t>
      </w:r>
      <w:proofErr w:type="spellEnd"/>
      <w:r w:rsidRPr="00A16E8A">
        <w:rPr>
          <w:rFonts w:ascii="Times New Roman" w:eastAsia="Times New Roman" w:hAnsi="Times New Roman" w:cs="Times New Roman"/>
          <w:color w:val="000000"/>
          <w:lang w:val="en-GB"/>
        </w:rPr>
        <w:t xml:space="preserve">, D. F., Ireland, R. D., &amp; Hornsby, J. S. (2001). « Improving firm performance through entrepreneurial actions: </w:t>
      </w:r>
      <w:proofErr w:type="spellStart"/>
      <w:r w:rsidRPr="00A16E8A">
        <w:rPr>
          <w:rFonts w:ascii="Times New Roman" w:eastAsia="Times New Roman" w:hAnsi="Times New Roman" w:cs="Times New Roman"/>
          <w:color w:val="000000"/>
          <w:lang w:val="en-GB"/>
        </w:rPr>
        <w:t>Acordia’s</w:t>
      </w:r>
      <w:proofErr w:type="spellEnd"/>
      <w:r w:rsidRPr="00A16E8A">
        <w:rPr>
          <w:rFonts w:ascii="Times New Roman" w:eastAsia="Times New Roman" w:hAnsi="Times New Roman" w:cs="Times New Roman"/>
          <w:color w:val="000000"/>
          <w:lang w:val="en-GB"/>
        </w:rPr>
        <w:t xml:space="preserve"> corporate entrepreneurship strategy », </w:t>
      </w:r>
      <w:r w:rsidRPr="00A16E8A">
        <w:rPr>
          <w:rFonts w:ascii="Times New Roman" w:eastAsia="Times New Roman" w:hAnsi="Times New Roman" w:cs="Times New Roman"/>
          <w:i/>
          <w:iCs/>
          <w:color w:val="000000"/>
          <w:lang w:val="en-GB"/>
        </w:rPr>
        <w:t>The Academy of Management Executive</w:t>
      </w:r>
      <w:r w:rsidRPr="00A16E8A">
        <w:rPr>
          <w:rFonts w:ascii="Times New Roman" w:eastAsia="Times New Roman" w:hAnsi="Times New Roman" w:cs="Times New Roman"/>
          <w:color w:val="000000"/>
          <w:lang w:val="en-GB"/>
        </w:rPr>
        <w:t>, vol. 15, n° 4, 60–71.</w:t>
      </w:r>
    </w:p>
    <w:p w:rsidR="00A16E8A" w:rsidRPr="00A16E8A" w:rsidRDefault="00A16E8A" w:rsidP="00A16E8A">
      <w:pPr>
        <w:jc w:val="both"/>
        <w:rPr>
          <w:rFonts w:ascii="Times New Roman" w:eastAsia="Times New Roman" w:hAnsi="Times New Roman" w:cs="Times New Roman"/>
          <w:sz w:val="24"/>
          <w:szCs w:val="24"/>
          <w:lang w:val="en-GB"/>
        </w:rPr>
      </w:pPr>
      <w:proofErr w:type="spellStart"/>
      <w:r w:rsidRPr="00A16E8A">
        <w:rPr>
          <w:rFonts w:ascii="Times New Roman" w:eastAsia="Times New Roman" w:hAnsi="Times New Roman" w:cs="Times New Roman"/>
          <w:color w:val="000000"/>
          <w:lang w:val="en-GB"/>
        </w:rPr>
        <w:t>Parboteeah</w:t>
      </w:r>
      <w:proofErr w:type="spellEnd"/>
      <w:r w:rsidRPr="00A16E8A">
        <w:rPr>
          <w:rFonts w:ascii="Times New Roman" w:eastAsia="Times New Roman" w:hAnsi="Times New Roman" w:cs="Times New Roman"/>
          <w:color w:val="000000"/>
          <w:lang w:val="en-GB"/>
        </w:rPr>
        <w:t xml:space="preserve">, K., Walter, S. and Block, J. (2015). « When Does Christian Religion Matter for Entrepreneurial Activity? The Contingent Effect of a Country’s Investments into Knowledge », </w:t>
      </w:r>
      <w:r w:rsidRPr="00A16E8A">
        <w:rPr>
          <w:rFonts w:ascii="Times New Roman" w:eastAsia="Times New Roman" w:hAnsi="Times New Roman" w:cs="Times New Roman"/>
          <w:i/>
          <w:iCs/>
          <w:color w:val="000000"/>
          <w:lang w:val="en-GB"/>
        </w:rPr>
        <w:t>Journal of Business Ethics</w:t>
      </w:r>
      <w:r w:rsidRPr="00A16E8A">
        <w:rPr>
          <w:rFonts w:ascii="Times New Roman" w:eastAsia="Times New Roman" w:hAnsi="Times New Roman" w:cs="Times New Roman"/>
          <w:color w:val="000000"/>
          <w:lang w:val="en-GB"/>
        </w:rPr>
        <w:t>, vol. 130, n° 2, 447–465. </w:t>
      </w:r>
    </w:p>
    <w:p w:rsidR="00A16E8A" w:rsidRPr="00A16E8A" w:rsidRDefault="00A16E8A" w:rsidP="00A16E8A">
      <w:pPr>
        <w:jc w:val="both"/>
        <w:rPr>
          <w:rFonts w:ascii="Times New Roman" w:eastAsia="Times New Roman" w:hAnsi="Times New Roman" w:cs="Times New Roman"/>
          <w:sz w:val="24"/>
          <w:szCs w:val="24"/>
          <w:lang w:val="en-GB"/>
        </w:rPr>
      </w:pPr>
      <w:r w:rsidRPr="00A16E8A">
        <w:rPr>
          <w:rFonts w:ascii="Times New Roman" w:eastAsia="Times New Roman" w:hAnsi="Times New Roman" w:cs="Times New Roman"/>
          <w:color w:val="000000"/>
          <w:lang w:val="en-GB"/>
        </w:rPr>
        <w:t>Weber, M. (1930). The protestant ethic and the spirit of capitalism. London: Routledge.</w:t>
      </w:r>
    </w:p>
    <w:p w:rsidR="00A16E8A" w:rsidRPr="00A16E8A" w:rsidRDefault="00A16E8A" w:rsidP="00A16E8A">
      <w:pPr>
        <w:jc w:val="both"/>
        <w:rPr>
          <w:rFonts w:ascii="Times New Roman" w:eastAsia="Times New Roman" w:hAnsi="Times New Roman" w:cs="Times New Roman"/>
          <w:sz w:val="24"/>
          <w:szCs w:val="24"/>
          <w:lang w:val="en-GB"/>
        </w:rPr>
      </w:pPr>
      <w:proofErr w:type="spellStart"/>
      <w:r w:rsidRPr="00A16E8A">
        <w:rPr>
          <w:rFonts w:ascii="Times New Roman" w:eastAsia="Times New Roman" w:hAnsi="Times New Roman" w:cs="Times New Roman"/>
          <w:color w:val="000000"/>
          <w:lang w:val="en-GB"/>
        </w:rPr>
        <w:t>Wunderer</w:t>
      </w:r>
      <w:proofErr w:type="spellEnd"/>
      <w:r w:rsidRPr="00A16E8A">
        <w:rPr>
          <w:rFonts w:ascii="Times New Roman" w:eastAsia="Times New Roman" w:hAnsi="Times New Roman" w:cs="Times New Roman"/>
          <w:color w:val="000000"/>
          <w:lang w:val="en-GB"/>
        </w:rPr>
        <w:t xml:space="preserve"> R. (2001). « Employees as « Co-</w:t>
      </w:r>
      <w:proofErr w:type="spellStart"/>
      <w:r w:rsidRPr="00A16E8A">
        <w:rPr>
          <w:rFonts w:ascii="Times New Roman" w:eastAsia="Times New Roman" w:hAnsi="Times New Roman" w:cs="Times New Roman"/>
          <w:color w:val="000000"/>
          <w:lang w:val="en-GB"/>
        </w:rPr>
        <w:t>Intrapreneurs</w:t>
      </w:r>
      <w:proofErr w:type="spellEnd"/>
      <w:r w:rsidRPr="00A16E8A">
        <w:rPr>
          <w:rFonts w:ascii="Times New Roman" w:eastAsia="Times New Roman" w:hAnsi="Times New Roman" w:cs="Times New Roman"/>
          <w:color w:val="000000"/>
          <w:lang w:val="en-GB"/>
        </w:rPr>
        <w:t xml:space="preserve"> » - a transformation concept », </w:t>
      </w:r>
      <w:r w:rsidRPr="00A16E8A">
        <w:rPr>
          <w:rFonts w:ascii="Times New Roman" w:eastAsia="Times New Roman" w:hAnsi="Times New Roman" w:cs="Times New Roman"/>
          <w:i/>
          <w:iCs/>
          <w:color w:val="000000"/>
          <w:lang w:val="en-GB"/>
        </w:rPr>
        <w:t>Leadership and organization Development Journal</w:t>
      </w:r>
      <w:r w:rsidRPr="00A16E8A">
        <w:rPr>
          <w:rFonts w:ascii="Times New Roman" w:eastAsia="Times New Roman" w:hAnsi="Times New Roman" w:cs="Times New Roman"/>
          <w:color w:val="000000"/>
          <w:lang w:val="en-GB"/>
        </w:rPr>
        <w:t>, vol. 22, n°5, 193 – 211.</w:t>
      </w:r>
    </w:p>
    <w:p w:rsidR="00A16E8A" w:rsidRPr="00A16E8A" w:rsidRDefault="00A16E8A" w:rsidP="00A16E8A">
      <w:pPr>
        <w:jc w:val="both"/>
        <w:rPr>
          <w:rFonts w:ascii="Times New Roman" w:eastAsia="Times New Roman" w:hAnsi="Times New Roman" w:cs="Times New Roman"/>
          <w:sz w:val="24"/>
          <w:szCs w:val="24"/>
          <w:lang w:val="en-GB"/>
        </w:rPr>
      </w:pPr>
      <w:r w:rsidRPr="00A16E8A">
        <w:rPr>
          <w:rFonts w:ascii="Times New Roman" w:eastAsia="Times New Roman" w:hAnsi="Times New Roman" w:cs="Times New Roman"/>
          <w:color w:val="000000"/>
          <w:lang w:val="en-GB"/>
        </w:rPr>
        <w:t>Yin, R. K. (2003). Case Study Research: Design and Methods, SAGE, Thousand Oaks, CA.</w:t>
      </w:r>
    </w:p>
    <w:p w:rsidR="00061C4D" w:rsidRPr="00A16E8A" w:rsidRDefault="00061C4D">
      <w:pPr>
        <w:rPr>
          <w:lang w:val="en-GB"/>
        </w:rPr>
      </w:pPr>
    </w:p>
    <w:sectPr w:rsidR="00061C4D" w:rsidRPr="00A16E8A" w:rsidSect="005C22C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C6E" w:rsidRDefault="00843C6E">
      <w:r>
        <w:separator/>
      </w:r>
    </w:p>
  </w:endnote>
  <w:endnote w:type="continuationSeparator" w:id="0">
    <w:p w:rsidR="00843C6E" w:rsidRDefault="00843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B2B" w:rsidRDefault="005C22CC">
    <w:pPr>
      <w:pStyle w:val="Corpsdetexte"/>
      <w:spacing w:line="14" w:lineRule="auto"/>
      <w:rPr>
        <w:sz w:val="20"/>
      </w:rPr>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3683000</wp:posOffset>
              </wp:positionH>
              <wp:positionV relativeFrom="page">
                <wp:posOffset>9916160</wp:posOffset>
              </wp:positionV>
              <wp:extent cx="194310" cy="165735"/>
              <wp:effectExtent l="0" t="635"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B2B" w:rsidRDefault="005C22CC">
                          <w:pPr>
                            <w:pStyle w:val="Corpsdetexte"/>
                            <w:spacing w:line="245" w:lineRule="exact"/>
                            <w:ind w:left="40"/>
                            <w:rPr>
                              <w:rFonts w:ascii="Calibri"/>
                            </w:rPr>
                          </w:pPr>
                          <w:r>
                            <w:fldChar w:fldCharType="begin"/>
                          </w:r>
                          <w:r>
                            <w:rPr>
                              <w:rFonts w:ascii="Calibri"/>
                              <w:color w:val="4471C4"/>
                            </w:rPr>
                            <w:instrText xml:space="preserve"> PAGE </w:instrText>
                          </w:r>
                          <w:r>
                            <w:fldChar w:fldCharType="separate"/>
                          </w:r>
                          <w:r w:rsidR="00825349">
                            <w:rPr>
                              <w:rFonts w:ascii="Calibri"/>
                              <w:noProof/>
                              <w:color w:val="4471C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290pt;margin-top:780.8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YRmswIAAK0FAAAOAAAAZHJzL2Uyb0RvYy54bWysVE2PmzAQvVfqf7B8Z4Es+QAtWSUhVJW2&#10;H9K2l94cbIJVsKntBLZV/3vHJmSzu6pUrcoBje3xmzczz3Nz2zc1OjKluRQpDq8CjJgoJOVin+Kv&#10;X3JvgZE2RFBSS8FS/MA0vl2+fXPTtQmbyErWlCkEIEInXZviypg28X1dVKwh+kq2TMBhKVVDDCzV&#10;3qeKdIDe1P4kCGZ+JxVtlSyY1rCbDYd46fDLkhXmU1lqZlCdYuBm3F+5/87+/eUNSfaKtBUvTjTI&#10;K1g0hAsIeobKiCHooPgLqIYXSmpZmqtCNr4sS14wlwNkEwbPsrmvSMtcLlAc3Z7LpP8fbPHx+Fkh&#10;TqF3GAnSQIu+QaMQZciw3jAU2hJ1rU7A874FX9OvZW/dbbq6vZPFd42E3FRE7NlKKdlVjFCg6G76&#10;F1cHHG1Bdt0HSSEWORjpgPpSNRYQKoIAHVr1cG4P8ECFDRlH1yGcFHAUzqbz66nl5pNkvNwqbd4x&#10;2SBrpFhB9x04Od5pM7iOLjaWkDmva6eAWjzZAMxhB0LDVXtmSbiG/oqDeLvYLiIvmsy2XhRkmbfK&#10;N5E3y8P5NLvONpss/G3jhlFScUqZsGFGcYXRvzXvJPNBFmd5aVlzauEsJa32u02t0JGAuHP3nQpy&#10;4eY/peHqBbk8SymcRMF6Env5bDH3ojyaevE8WHhBGK/jWRDFUZY/TemOg0iGZwsBXpsS6lIcTyfT&#10;QUt/zS1w38vcSNJwA+Oj5k2KF2cnklgFbgV1rTWE14N9UQpL/7EU0O6x0U6vVqKDWE2/6wHFingn&#10;6QMoV0lQFogQZh4YlVQ/MepgfqRY/zgQxTCq3wtQvx02o6FGYzcaRBRwNcUGo8HcmGEoHVrF9xUg&#10;D+9LyBW8kJI79T6yAOp2ATPBJXGaX3boXK6d1+OUXf4BAAD//wMAUEsDBBQABgAIAAAAIQDM9Hhl&#10;4QAAAA0BAAAPAAAAZHJzL2Rvd25yZXYueG1sTI/BTsMwEETvlfgHa5G4tXaQmoYQp6oQnJAQaThw&#10;dGI3sRqvQ+y24e/Znuhtd2c0+6bYzm5gZzMF61FCshLADLZeW+wkfNVvywxYiAq1GjwaCb8mwLa8&#10;WxQq1/6ClTnvY8coBEOuJPQxjjnnoe2NU2HlR4OkHfzkVKR16rie1IXC3cAfhUi5UxbpQ69G89Kb&#10;9rg/OQm7b6xe7c9H81kdKlvXTwLf06OUD/fz7hlYNHP8N8MVn9ChJKbGn1AHNkhYZ4K6RBLWaZIC&#10;I0uaCBqa6ynbbICXBb9tUf4BAAD//wMAUEsBAi0AFAAGAAgAAAAhALaDOJL+AAAA4QEAABMAAAAA&#10;AAAAAAAAAAAAAAAAAFtDb250ZW50X1R5cGVzXS54bWxQSwECLQAUAAYACAAAACEAOP0h/9YAAACU&#10;AQAACwAAAAAAAAAAAAAAAAAvAQAAX3JlbHMvLnJlbHNQSwECLQAUAAYACAAAACEAtxWEZrMCAACt&#10;BQAADgAAAAAAAAAAAAAAAAAuAgAAZHJzL2Uyb0RvYy54bWxQSwECLQAUAAYACAAAACEAzPR4ZeEA&#10;AAANAQAADwAAAAAAAAAAAAAAAAANBQAAZHJzL2Rvd25yZXYueG1sUEsFBgAAAAAEAAQA8wAAABsG&#10;AAAAAA==&#10;" filled="f" stroked="f">
              <v:textbox inset="0,0,0,0">
                <w:txbxContent>
                  <w:p w:rsidR="00191B2B" w:rsidRDefault="005C22CC">
                    <w:pPr>
                      <w:pStyle w:val="Corpsdetexte"/>
                      <w:spacing w:line="245" w:lineRule="exact"/>
                      <w:ind w:left="40"/>
                      <w:rPr>
                        <w:rFonts w:ascii="Calibri"/>
                      </w:rPr>
                    </w:pPr>
                    <w:r>
                      <w:fldChar w:fldCharType="begin"/>
                    </w:r>
                    <w:r>
                      <w:rPr>
                        <w:rFonts w:ascii="Calibri"/>
                        <w:color w:val="4471C4"/>
                      </w:rPr>
                      <w:instrText xml:space="preserve"> PAGE </w:instrText>
                    </w:r>
                    <w:r>
                      <w:fldChar w:fldCharType="separate"/>
                    </w:r>
                    <w:r w:rsidR="00825349">
                      <w:rPr>
                        <w:rFonts w:ascii="Calibri"/>
                        <w:noProof/>
                        <w:color w:val="4471C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C6E" w:rsidRDefault="00843C6E">
      <w:r>
        <w:separator/>
      </w:r>
    </w:p>
  </w:footnote>
  <w:footnote w:type="continuationSeparator" w:id="0">
    <w:p w:rsidR="00843C6E" w:rsidRDefault="00843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749EF"/>
    <w:multiLevelType w:val="multilevel"/>
    <w:tmpl w:val="2FCE7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2CC"/>
    <w:rsid w:val="00061C4D"/>
    <w:rsid w:val="005C22CC"/>
    <w:rsid w:val="00825349"/>
    <w:rsid w:val="00843C6E"/>
    <w:rsid w:val="00A16E8A"/>
    <w:rsid w:val="00C025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5F4140-9F1E-430B-98D3-FE80A292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C22CC"/>
    <w:pPr>
      <w:widowControl w:val="0"/>
      <w:autoSpaceDE w:val="0"/>
      <w:autoSpaceDN w:val="0"/>
      <w:spacing w:after="0" w:line="240" w:lineRule="auto"/>
    </w:pPr>
    <w:rPr>
      <w:rFonts w:ascii="Calibri Light" w:eastAsia="Calibri Light" w:hAnsi="Calibri Light" w:cs="Calibri Light"/>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5C22CC"/>
  </w:style>
  <w:style w:type="character" w:customStyle="1" w:styleId="CorpsdetexteCar">
    <w:name w:val="Corps de texte Car"/>
    <w:basedOn w:val="Policepardfaut"/>
    <w:link w:val="Corpsdetexte"/>
    <w:uiPriority w:val="1"/>
    <w:rsid w:val="005C22CC"/>
    <w:rPr>
      <w:rFonts w:ascii="Calibri Light" w:eastAsia="Calibri Light" w:hAnsi="Calibri Light" w:cs="Calibri Light"/>
      <w:lang w:eastAsia="fr-FR" w:bidi="fr-FR"/>
    </w:rPr>
  </w:style>
  <w:style w:type="paragraph" w:styleId="NormalWeb">
    <w:name w:val="Normal (Web)"/>
    <w:basedOn w:val="Normal"/>
    <w:uiPriority w:val="99"/>
    <w:semiHidden/>
    <w:unhideWhenUsed/>
    <w:rsid w:val="00A16E8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Lienhypertexte">
    <w:name w:val="Hyperlink"/>
    <w:basedOn w:val="Policepardfaut"/>
    <w:uiPriority w:val="99"/>
    <w:semiHidden/>
    <w:unhideWhenUsed/>
    <w:rsid w:val="00A16E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98143">
      <w:bodyDiv w:val="1"/>
      <w:marLeft w:val="0"/>
      <w:marRight w:val="0"/>
      <w:marTop w:val="0"/>
      <w:marBottom w:val="0"/>
      <w:divBdr>
        <w:top w:val="none" w:sz="0" w:space="0" w:color="auto"/>
        <w:left w:val="none" w:sz="0" w:space="0" w:color="auto"/>
        <w:bottom w:val="none" w:sz="0" w:space="0" w:color="auto"/>
        <w:right w:val="none" w:sz="0" w:space="0" w:color="auto"/>
      </w:divBdr>
    </w:div>
    <w:div w:id="172576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trick.gianfaldoni@univ-avignon.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eb.a.ebscohost.com.bibelec.univ-lyon2.fr/ehost/viewarticle/render?data=dGJyMPPp44rp2%2fdV0%2bnjisfk5Ie46bZNrqy3SrOk4Xnr5vOLsKTjgO3p8livp61Jt6WwSK%2bunku4pq9SsqqeWcuc8orf5PF54ernh%2bzf4lWrq7BQtqy3S7CnpITf5OVV5OikfOCz4IzmnPJ55bO%2fZqTX7FWyqrBKsaiuUKTc7Yrr1%2fJV5OvqhPLb9owA&amp;vid=4&amp;sid=77cc4cc4-b07b-4e9c-a46a-7105ad151fdf@sessionmgr4006" TargetMode="External"/><Relationship Id="rId4" Type="http://schemas.openxmlformats.org/officeDocument/2006/relationships/webSettings" Target="webSettings.xml"/><Relationship Id="rId9" Type="http://schemas.openxmlformats.org/officeDocument/2006/relationships/hyperlink" Target="http://web.a.ebscohost.com.bibelec.univ-lyon2.fr/ehost/viewarticle/render?data=dGJyMPPp44rp2%2fdV0%2bnjisfk5Ie46bZNrqy3SrOk4Xnr5vOLsKTjgO3p8livp61Jt6WwSK%2bunku4pq9SsqqeWcuc8orf5PF54ernh%2bzf4lWrq7BQtqy3S7CnpITf5OVV5OikfOCz4IzmnPJ55bO%2fZqTX7FWyqrBKsaiuUKTc7Yrr1%2fJV5OvqhPLb9owA&amp;vid=4&amp;sid=77cc4cc4-b07b-4e9c-a46a-7105ad151fdf@sessionmgr400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3039</Words>
  <Characters>16718</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DSI UGA</Company>
  <LinksUpToDate>false</LinksUpToDate>
  <CharactersWithSpaces>19718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 CHARMETTANT</dc:creator>
  <cp:keywords/>
  <dc:description/>
  <cp:lastModifiedBy>HERVE CHARMETTANT</cp:lastModifiedBy>
  <cp:revision>5</cp:revision>
  <dcterms:created xsi:type="dcterms:W3CDTF">2019-11-02T20:48:00Z</dcterms:created>
  <dcterms:modified xsi:type="dcterms:W3CDTF">2019-11-16T19:40:00Z</dcterms:modified>
</cp:coreProperties>
</file>